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89A47" w14:textId="77777777" w:rsidR="00BC5737" w:rsidRDefault="003C1454">
      <w:pPr>
        <w:spacing w:line="360" w:lineRule="auto"/>
        <w:rPr>
          <w:rFonts w:ascii="Times New Roman" w:hAnsi="Times New Roman"/>
          <w:kern w:val="0"/>
          <w:sz w:val="24"/>
          <w:szCs w:val="24"/>
        </w:rPr>
      </w:pPr>
      <w:r>
        <w:rPr>
          <w:rFonts w:ascii="Times New Roman" w:hAnsi="Times New Roman"/>
          <w:kern w:val="0"/>
          <w:sz w:val="24"/>
          <w:szCs w:val="24"/>
        </w:rPr>
        <w:t>证券代码</w:t>
      </w:r>
      <w:r>
        <w:rPr>
          <w:rFonts w:ascii="Times New Roman" w:hAnsi="Times New Roman" w:hint="eastAsia"/>
          <w:kern w:val="0"/>
          <w:sz w:val="24"/>
          <w:szCs w:val="24"/>
        </w:rPr>
        <w:t>：</w:t>
      </w:r>
      <w:r>
        <w:rPr>
          <w:rFonts w:ascii="Times New Roman" w:hAnsi="Times New Roman"/>
          <w:kern w:val="0"/>
          <w:sz w:val="24"/>
          <w:szCs w:val="24"/>
        </w:rPr>
        <w:t>300436     </w:t>
      </w:r>
      <w:r>
        <w:rPr>
          <w:rFonts w:ascii="Times New Roman" w:hAnsi="Times New Roman" w:hint="eastAsia"/>
          <w:kern w:val="0"/>
          <w:sz w:val="24"/>
          <w:szCs w:val="24"/>
        </w:rPr>
        <w:t xml:space="preserve">        </w:t>
      </w:r>
      <w:r>
        <w:rPr>
          <w:rFonts w:ascii="Times New Roman" w:hAnsi="Times New Roman"/>
          <w:kern w:val="0"/>
          <w:sz w:val="24"/>
          <w:szCs w:val="24"/>
        </w:rPr>
        <w:t>证券简称：广生堂</w:t>
      </w:r>
      <w:r>
        <w:rPr>
          <w:rFonts w:ascii="Times New Roman" w:hAnsi="Times New Roman"/>
          <w:kern w:val="0"/>
          <w:sz w:val="24"/>
          <w:szCs w:val="24"/>
        </w:rPr>
        <w:t>  </w:t>
      </w:r>
      <w:r>
        <w:rPr>
          <w:rFonts w:ascii="Times New Roman" w:hAnsi="Times New Roman" w:hint="eastAsia"/>
          <w:kern w:val="0"/>
          <w:sz w:val="24"/>
          <w:szCs w:val="24"/>
        </w:rPr>
        <w:t xml:space="preserve">        </w:t>
      </w:r>
      <w:r>
        <w:rPr>
          <w:rFonts w:ascii="Times New Roman" w:hAnsi="Times New Roman"/>
          <w:kern w:val="0"/>
          <w:sz w:val="24"/>
          <w:szCs w:val="24"/>
        </w:rPr>
        <w:t>  </w:t>
      </w:r>
      <w:r>
        <w:rPr>
          <w:rFonts w:ascii="Times New Roman" w:hAnsi="Times New Roman"/>
          <w:kern w:val="0"/>
          <w:sz w:val="24"/>
          <w:szCs w:val="24"/>
        </w:rPr>
        <w:t>公告编号：</w:t>
      </w:r>
      <w:r>
        <w:rPr>
          <w:rFonts w:ascii="Times New Roman" w:hAnsi="Times New Roman"/>
          <w:kern w:val="0"/>
          <w:sz w:val="24"/>
          <w:szCs w:val="24"/>
        </w:rPr>
        <w:t>20</w:t>
      </w:r>
      <w:r>
        <w:rPr>
          <w:rFonts w:ascii="Times New Roman" w:hAnsi="Times New Roman" w:hint="eastAsia"/>
          <w:kern w:val="0"/>
          <w:sz w:val="24"/>
          <w:szCs w:val="24"/>
        </w:rPr>
        <w:t>25040</w:t>
      </w:r>
    </w:p>
    <w:p w14:paraId="6EB366CA" w14:textId="77777777" w:rsidR="00BC5737" w:rsidRDefault="003C1454">
      <w:pPr>
        <w:spacing w:beforeLines="50" w:before="156"/>
        <w:jc w:val="center"/>
        <w:rPr>
          <w:rFonts w:ascii="Times New Roman" w:hAnsi="Times New Roman"/>
          <w:b/>
          <w:kern w:val="0"/>
          <w:sz w:val="32"/>
          <w:szCs w:val="32"/>
        </w:rPr>
      </w:pPr>
      <w:r>
        <w:rPr>
          <w:rFonts w:ascii="Times New Roman" w:hAnsi="Times New Roman"/>
          <w:b/>
          <w:kern w:val="0"/>
          <w:sz w:val="32"/>
          <w:szCs w:val="32"/>
        </w:rPr>
        <w:t>福建广生堂药业股份有限公司</w:t>
      </w:r>
    </w:p>
    <w:p w14:paraId="737B3AC8" w14:textId="77777777" w:rsidR="00BC5737" w:rsidRDefault="003C1454">
      <w:pPr>
        <w:jc w:val="center"/>
        <w:rPr>
          <w:rFonts w:ascii="Times New Roman" w:hAnsi="Times New Roman"/>
          <w:b/>
          <w:kern w:val="0"/>
          <w:sz w:val="32"/>
          <w:szCs w:val="32"/>
        </w:rPr>
      </w:pPr>
      <w:r>
        <w:rPr>
          <w:rFonts w:ascii="Times New Roman" w:hAnsi="Times New Roman"/>
          <w:b/>
          <w:kern w:val="0"/>
          <w:sz w:val="32"/>
          <w:szCs w:val="32"/>
        </w:rPr>
        <w:t>关于</w:t>
      </w:r>
      <w:r>
        <w:rPr>
          <w:rFonts w:ascii="Times New Roman" w:hAnsi="Times New Roman" w:hint="eastAsia"/>
          <w:b/>
          <w:kern w:val="0"/>
          <w:sz w:val="32"/>
          <w:szCs w:val="32"/>
        </w:rPr>
        <w:t>乙肝治疗一类创新药</w:t>
      </w:r>
      <w:r>
        <w:rPr>
          <w:rFonts w:ascii="Times New Roman" w:hAnsi="Times New Roman" w:hint="eastAsia"/>
          <w:b/>
          <w:kern w:val="0"/>
          <w:sz w:val="32"/>
          <w:szCs w:val="32"/>
        </w:rPr>
        <w:t>GST-HG131</w:t>
      </w:r>
      <w:r>
        <w:rPr>
          <w:rFonts w:ascii="Times New Roman" w:hAnsi="Times New Roman" w:hint="eastAsia"/>
          <w:b/>
          <w:kern w:val="0"/>
          <w:sz w:val="32"/>
          <w:szCs w:val="32"/>
        </w:rPr>
        <w:t>联合</w:t>
      </w:r>
      <w:r>
        <w:rPr>
          <w:rFonts w:ascii="Times New Roman" w:hAnsi="Times New Roman" w:hint="eastAsia"/>
          <w:b/>
          <w:kern w:val="0"/>
          <w:sz w:val="32"/>
          <w:szCs w:val="32"/>
        </w:rPr>
        <w:t>GST-HG141</w:t>
      </w:r>
      <w:r>
        <w:rPr>
          <w:rFonts w:ascii="Times New Roman" w:hAnsi="Times New Roman"/>
          <w:b/>
          <w:kern w:val="0"/>
          <w:sz w:val="32"/>
          <w:szCs w:val="32"/>
        </w:rPr>
        <w:t xml:space="preserve"> </w:t>
      </w:r>
    </w:p>
    <w:p w14:paraId="598AFDF8" w14:textId="77777777" w:rsidR="00BC5737" w:rsidRDefault="003C1454">
      <w:pPr>
        <w:jc w:val="center"/>
        <w:rPr>
          <w:rFonts w:ascii="Times New Roman" w:hAnsi="Times New Roman"/>
          <w:b/>
          <w:sz w:val="32"/>
          <w:szCs w:val="32"/>
        </w:rPr>
      </w:pPr>
      <w:r>
        <w:rPr>
          <w:rFonts w:ascii="Times New Roman" w:hAnsi="Times New Roman" w:hint="eastAsia"/>
          <w:b/>
          <w:kern w:val="0"/>
          <w:sz w:val="32"/>
          <w:szCs w:val="32"/>
        </w:rPr>
        <w:t>针对乙肝经</w:t>
      </w:r>
      <w:proofErr w:type="gramStart"/>
      <w:r>
        <w:rPr>
          <w:rFonts w:ascii="Times New Roman" w:hAnsi="Times New Roman" w:hint="eastAsia"/>
          <w:b/>
          <w:kern w:val="0"/>
          <w:sz w:val="32"/>
          <w:szCs w:val="32"/>
        </w:rPr>
        <w:t>治患者</w:t>
      </w:r>
      <w:proofErr w:type="gramEnd"/>
      <w:r>
        <w:rPr>
          <w:rFonts w:ascii="Times New Roman" w:hAnsi="Times New Roman" w:hint="eastAsia"/>
          <w:b/>
          <w:kern w:val="0"/>
          <w:sz w:val="32"/>
          <w:szCs w:val="32"/>
        </w:rPr>
        <w:t>的临床试验申请获得批准的</w:t>
      </w:r>
      <w:r>
        <w:rPr>
          <w:rFonts w:ascii="Times New Roman" w:hAnsi="Times New Roman"/>
          <w:b/>
          <w:kern w:val="0"/>
          <w:sz w:val="32"/>
          <w:szCs w:val="32"/>
        </w:rPr>
        <w:t>公告</w:t>
      </w:r>
    </w:p>
    <w:p w14:paraId="443E01EA" w14:textId="77777777" w:rsidR="00BC5737" w:rsidRDefault="00BC5737">
      <w:pPr>
        <w:jc w:val="center"/>
        <w:rPr>
          <w:rFonts w:ascii="Times New Roman" w:hAnsi="Times New Roman"/>
          <w:b/>
          <w:sz w:val="24"/>
          <w:szCs w:val="24"/>
        </w:rPr>
      </w:pPr>
    </w:p>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8522"/>
      </w:tblGrid>
      <w:tr w:rsidR="00BC5737" w14:paraId="30B4D8EA" w14:textId="77777777">
        <w:trPr>
          <w:trHeight w:val="1457"/>
        </w:trPr>
        <w:tc>
          <w:tcPr>
            <w:tcW w:w="8522" w:type="dxa"/>
            <w:vAlign w:val="center"/>
          </w:tcPr>
          <w:p w14:paraId="19DC3A4A" w14:textId="77777777" w:rsidR="00BC5737" w:rsidRDefault="003C1454">
            <w:pPr>
              <w:widowControl/>
              <w:ind w:firstLineChars="200" w:firstLine="600"/>
              <w:rPr>
                <w:rFonts w:ascii="Times New Roman" w:hAnsi="Times New Roman"/>
                <w:b/>
                <w:sz w:val="30"/>
                <w:szCs w:val="30"/>
              </w:rPr>
            </w:pPr>
            <w:r>
              <w:rPr>
                <w:rFonts w:ascii="Times New Roman" w:hAnsi="Times New Roman"/>
                <w:kern w:val="0"/>
                <w:sz w:val="30"/>
                <w:szCs w:val="30"/>
              </w:rPr>
              <w:t>本公司及董事会全体成员保证信息披露的内容真实、准确、完整，没有虚假记载、误导性陈述或重大遗漏。</w:t>
            </w:r>
          </w:p>
        </w:tc>
      </w:tr>
    </w:tbl>
    <w:p w14:paraId="24F24D0B" w14:textId="77777777" w:rsidR="00BC5737" w:rsidRDefault="003C1454">
      <w:pPr>
        <w:adjustRightInd w:val="0"/>
        <w:snapToGrid w:val="0"/>
        <w:spacing w:beforeLines="50" w:before="156" w:line="360" w:lineRule="auto"/>
        <w:ind w:firstLineChars="200" w:firstLine="480"/>
        <w:rPr>
          <w:rFonts w:ascii="Times New Roman" w:hAnsi="Times New Roman"/>
          <w:sz w:val="24"/>
          <w:szCs w:val="24"/>
        </w:rPr>
      </w:pPr>
      <w:r>
        <w:rPr>
          <w:rFonts w:ascii="Times New Roman" w:hAnsi="Times New Roman" w:hint="eastAsia"/>
          <w:sz w:val="24"/>
          <w:szCs w:val="24"/>
        </w:rPr>
        <w:t>2025</w:t>
      </w:r>
      <w:r>
        <w:rPr>
          <w:rFonts w:ascii="Times New Roman" w:hAnsi="Times New Roman" w:hint="eastAsia"/>
          <w:sz w:val="24"/>
          <w:szCs w:val="24"/>
        </w:rPr>
        <w:t>年</w:t>
      </w:r>
      <w:r>
        <w:rPr>
          <w:rFonts w:ascii="Times New Roman" w:hAnsi="Times New Roman" w:hint="eastAsia"/>
          <w:sz w:val="24"/>
          <w:szCs w:val="24"/>
        </w:rPr>
        <w:t>4</w:t>
      </w:r>
      <w:r>
        <w:rPr>
          <w:rFonts w:ascii="Times New Roman" w:hAnsi="Times New Roman" w:hint="eastAsia"/>
          <w:sz w:val="24"/>
          <w:szCs w:val="24"/>
        </w:rPr>
        <w:t>月</w:t>
      </w:r>
      <w:r>
        <w:rPr>
          <w:rFonts w:ascii="Times New Roman" w:hAnsi="Times New Roman" w:hint="eastAsia"/>
          <w:sz w:val="24"/>
          <w:szCs w:val="24"/>
        </w:rPr>
        <w:t>24</w:t>
      </w:r>
      <w:r>
        <w:rPr>
          <w:rFonts w:ascii="Times New Roman" w:hAnsi="Times New Roman" w:hint="eastAsia"/>
          <w:sz w:val="24"/>
          <w:szCs w:val="24"/>
        </w:rPr>
        <w:t>日，</w:t>
      </w:r>
      <w:r>
        <w:rPr>
          <w:rFonts w:ascii="Times New Roman" w:hAnsi="Times New Roman"/>
          <w:sz w:val="24"/>
          <w:szCs w:val="24"/>
        </w:rPr>
        <w:t>福建广生堂药业股份有限公司（以下简称</w:t>
      </w:r>
      <w:r>
        <w:rPr>
          <w:rFonts w:ascii="Times New Roman" w:hAnsi="Times New Roman"/>
          <w:sz w:val="24"/>
          <w:szCs w:val="24"/>
        </w:rPr>
        <w:t>“</w:t>
      </w:r>
      <w:r>
        <w:rPr>
          <w:rFonts w:ascii="Times New Roman" w:hAnsi="Times New Roman"/>
          <w:sz w:val="24"/>
          <w:szCs w:val="24"/>
        </w:rPr>
        <w:t>公司</w:t>
      </w:r>
      <w:r>
        <w:rPr>
          <w:rFonts w:ascii="Times New Roman" w:hAnsi="Times New Roman"/>
          <w:sz w:val="24"/>
          <w:szCs w:val="24"/>
        </w:rPr>
        <w:t>”</w:t>
      </w:r>
      <w:r>
        <w:rPr>
          <w:rFonts w:ascii="Times New Roman" w:hAnsi="Times New Roman"/>
          <w:sz w:val="24"/>
          <w:szCs w:val="24"/>
        </w:rPr>
        <w:t>）创新药控股子公司福建广生中</w:t>
      </w:r>
      <w:proofErr w:type="gramStart"/>
      <w:r>
        <w:rPr>
          <w:rFonts w:ascii="Times New Roman" w:hAnsi="Times New Roman"/>
          <w:sz w:val="24"/>
          <w:szCs w:val="24"/>
        </w:rPr>
        <w:t>霖</w:t>
      </w:r>
      <w:proofErr w:type="gramEnd"/>
      <w:r>
        <w:rPr>
          <w:rFonts w:ascii="Times New Roman" w:hAnsi="Times New Roman"/>
          <w:sz w:val="24"/>
          <w:szCs w:val="24"/>
        </w:rPr>
        <w:t>生物科技有限公司（简称</w:t>
      </w:r>
      <w:r>
        <w:rPr>
          <w:rFonts w:ascii="Times New Roman" w:hAnsi="Times New Roman"/>
          <w:sz w:val="24"/>
          <w:szCs w:val="24"/>
        </w:rPr>
        <w:t>“</w:t>
      </w:r>
      <w:r>
        <w:rPr>
          <w:rFonts w:ascii="Times New Roman" w:hAnsi="Times New Roman"/>
          <w:sz w:val="24"/>
          <w:szCs w:val="24"/>
        </w:rPr>
        <w:t>广生中</w:t>
      </w:r>
      <w:proofErr w:type="gramStart"/>
      <w:r>
        <w:rPr>
          <w:rFonts w:ascii="Times New Roman" w:hAnsi="Times New Roman"/>
          <w:sz w:val="24"/>
          <w:szCs w:val="24"/>
        </w:rPr>
        <w:t>霖</w:t>
      </w:r>
      <w:proofErr w:type="gramEnd"/>
      <w:r>
        <w:rPr>
          <w:rFonts w:ascii="Times New Roman" w:hAnsi="Times New Roman"/>
          <w:sz w:val="24"/>
          <w:szCs w:val="24"/>
        </w:rPr>
        <w:t>”</w:t>
      </w:r>
      <w:r>
        <w:rPr>
          <w:rFonts w:ascii="Times New Roman" w:hAnsi="Times New Roman"/>
          <w:sz w:val="24"/>
          <w:szCs w:val="24"/>
        </w:rPr>
        <w:t>）</w:t>
      </w:r>
      <w:r>
        <w:rPr>
          <w:rFonts w:ascii="Times New Roman" w:hAnsi="Times New Roman" w:hint="eastAsia"/>
          <w:sz w:val="24"/>
          <w:szCs w:val="24"/>
        </w:rPr>
        <w:t>收到国家药品监督管理局下发的《药物临床试验批准通知书》，同意</w:t>
      </w:r>
      <w:r>
        <w:rPr>
          <w:rFonts w:ascii="Times New Roman" w:hAnsi="Times New Roman" w:hint="eastAsia"/>
          <w:sz w:val="24"/>
          <w:szCs w:val="24"/>
        </w:rPr>
        <w:t>GST-HG131</w:t>
      </w:r>
      <w:r>
        <w:rPr>
          <w:rFonts w:ascii="Times New Roman" w:hAnsi="Times New Roman" w:hint="eastAsia"/>
          <w:sz w:val="24"/>
          <w:szCs w:val="24"/>
        </w:rPr>
        <w:t>联合</w:t>
      </w:r>
      <w:r>
        <w:rPr>
          <w:rFonts w:ascii="Times New Roman" w:hAnsi="Times New Roman" w:hint="eastAsia"/>
          <w:sz w:val="24"/>
          <w:szCs w:val="24"/>
        </w:rPr>
        <w:t>GST-HG141</w:t>
      </w:r>
      <w:r>
        <w:rPr>
          <w:rFonts w:ascii="Times New Roman" w:hAnsi="Times New Roman" w:hint="eastAsia"/>
          <w:sz w:val="24"/>
          <w:szCs w:val="24"/>
        </w:rPr>
        <w:t>用于慢性乙型肝炎的治疗的临床试验。前述联合方案于今年</w:t>
      </w:r>
      <w:r>
        <w:rPr>
          <w:rFonts w:ascii="Times New Roman" w:hAnsi="Times New Roman" w:hint="eastAsia"/>
          <w:sz w:val="24"/>
          <w:szCs w:val="24"/>
        </w:rPr>
        <w:t>3</w:t>
      </w:r>
      <w:r>
        <w:rPr>
          <w:rFonts w:ascii="Times New Roman" w:hAnsi="Times New Roman" w:hint="eastAsia"/>
          <w:sz w:val="24"/>
          <w:szCs w:val="24"/>
        </w:rPr>
        <w:t>月被纳入“优化创新药临床试验审评审批试点项目”和此次临床试验申请获得高效批准，均体现了国家对重大创新药物研发的高度重视和政策支持。公司将积极推动三联全口服治疗乙肝用药方案，针对核苷（酸）类似物经治乙肝患者，挑战临床治愈乙肝。</w:t>
      </w:r>
    </w:p>
    <w:p w14:paraId="7E827622" w14:textId="77777777" w:rsidR="00BC5737" w:rsidRDefault="003C1454">
      <w:pPr>
        <w:adjustRightInd w:val="0"/>
        <w:snapToGrid w:val="0"/>
        <w:spacing w:beforeLines="50" w:before="156" w:afterLines="50" w:after="156" w:line="360" w:lineRule="auto"/>
        <w:ind w:firstLine="482"/>
        <w:rPr>
          <w:rStyle w:val="fontstyle01"/>
          <w:rFonts w:ascii="Times New Roman" w:hAnsi="Times New Roman" w:hint="default"/>
          <w:b/>
          <w:bCs/>
        </w:rPr>
      </w:pPr>
      <w:r>
        <w:rPr>
          <w:rStyle w:val="fontstyle01"/>
          <w:rFonts w:ascii="Times New Roman" w:hAnsi="Times New Roman" w:hint="default"/>
          <w:b/>
          <w:bCs/>
        </w:rPr>
        <w:t>一、《药物临床试验批准</w:t>
      </w:r>
      <w:r>
        <w:rPr>
          <w:rStyle w:val="fontstyle01"/>
          <w:rFonts w:ascii="Times New Roman" w:hAnsi="Times New Roman" w:hint="default"/>
          <w:b/>
          <w:bCs/>
        </w:rPr>
        <w:t>通知书》主要内容</w:t>
      </w:r>
    </w:p>
    <w:p w14:paraId="6DFB0011"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sz w:val="24"/>
          <w:szCs w:val="24"/>
        </w:rPr>
        <w:t>药品名称：</w:t>
      </w:r>
      <w:r>
        <w:rPr>
          <w:rFonts w:ascii="Times New Roman" w:hAnsi="Times New Roman" w:hint="eastAsia"/>
          <w:sz w:val="24"/>
          <w:szCs w:val="24"/>
        </w:rPr>
        <w:t xml:space="preserve"> GST-HG141</w:t>
      </w:r>
      <w:r>
        <w:rPr>
          <w:rFonts w:ascii="Times New Roman" w:hAnsi="Times New Roman" w:hint="eastAsia"/>
          <w:sz w:val="24"/>
          <w:szCs w:val="24"/>
        </w:rPr>
        <w:t>奈瑞可韦片</w:t>
      </w:r>
    </w:p>
    <w:p w14:paraId="513E86FC"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申请事项：境内生产药品</w:t>
      </w:r>
      <w:r>
        <w:rPr>
          <w:rFonts w:ascii="Times New Roman" w:hAnsi="Times New Roman" w:hint="eastAsia"/>
          <w:sz w:val="24"/>
          <w:szCs w:val="24"/>
        </w:rPr>
        <w:t>注册临床试验</w:t>
      </w:r>
    </w:p>
    <w:p w14:paraId="66CD404B"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受理号</w:t>
      </w:r>
      <w:r>
        <w:rPr>
          <w:rFonts w:ascii="Times New Roman" w:hAnsi="Times New Roman" w:hint="eastAsia"/>
          <w:sz w:val="24"/>
          <w:szCs w:val="24"/>
        </w:rPr>
        <w:t>和规格</w:t>
      </w:r>
      <w:r>
        <w:rPr>
          <w:rFonts w:ascii="Times New Roman" w:hAnsi="Times New Roman"/>
          <w:sz w:val="24"/>
          <w:szCs w:val="24"/>
        </w:rPr>
        <w:t>：</w:t>
      </w:r>
      <w:r>
        <w:rPr>
          <w:rFonts w:ascii="Times New Roman" w:hAnsi="Times New Roman"/>
          <w:sz w:val="24"/>
          <w:szCs w:val="24"/>
        </w:rPr>
        <w:t xml:space="preserve"> CXH</w:t>
      </w:r>
      <w:r>
        <w:rPr>
          <w:rFonts w:ascii="Times New Roman" w:hAnsi="Times New Roman" w:hint="eastAsia"/>
          <w:sz w:val="24"/>
          <w:szCs w:val="24"/>
        </w:rPr>
        <w:t>L2500292</w:t>
      </w:r>
      <w:r>
        <w:rPr>
          <w:rFonts w:ascii="Times New Roman" w:hAnsi="Times New Roman" w:hint="eastAsia"/>
          <w:sz w:val="24"/>
          <w:szCs w:val="24"/>
        </w:rPr>
        <w:t>（</w:t>
      </w:r>
      <w:r>
        <w:rPr>
          <w:rFonts w:ascii="Times New Roman" w:hAnsi="Times New Roman" w:hint="eastAsia"/>
          <w:sz w:val="24"/>
          <w:szCs w:val="24"/>
        </w:rPr>
        <w:t>25mg</w:t>
      </w:r>
      <w:r>
        <w:rPr>
          <w:rFonts w:ascii="Times New Roman" w:hAnsi="Times New Roman" w:hint="eastAsia"/>
          <w:sz w:val="24"/>
          <w:szCs w:val="24"/>
        </w:rPr>
        <w:t>）、</w:t>
      </w:r>
      <w:r>
        <w:rPr>
          <w:rFonts w:ascii="Times New Roman" w:hAnsi="Times New Roman"/>
          <w:sz w:val="24"/>
          <w:szCs w:val="24"/>
        </w:rPr>
        <w:t>CXH</w:t>
      </w:r>
      <w:r>
        <w:rPr>
          <w:rFonts w:ascii="Times New Roman" w:hAnsi="Times New Roman" w:hint="eastAsia"/>
          <w:sz w:val="24"/>
          <w:szCs w:val="24"/>
        </w:rPr>
        <w:t>L2500293</w:t>
      </w:r>
      <w:r>
        <w:rPr>
          <w:rFonts w:ascii="Times New Roman" w:hAnsi="Times New Roman" w:hint="eastAsia"/>
          <w:sz w:val="24"/>
          <w:szCs w:val="24"/>
        </w:rPr>
        <w:t>（</w:t>
      </w:r>
      <w:r>
        <w:rPr>
          <w:rFonts w:ascii="Times New Roman" w:hAnsi="Times New Roman" w:hint="eastAsia"/>
          <w:sz w:val="24"/>
          <w:szCs w:val="24"/>
        </w:rPr>
        <w:t>100mg</w:t>
      </w:r>
      <w:r>
        <w:rPr>
          <w:rFonts w:ascii="Times New Roman" w:hAnsi="Times New Roman" w:hint="eastAsia"/>
          <w:sz w:val="24"/>
          <w:szCs w:val="24"/>
        </w:rPr>
        <w:t>）</w:t>
      </w:r>
    </w:p>
    <w:p w14:paraId="6B2879C6"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申请人：福建广生中</w:t>
      </w:r>
      <w:proofErr w:type="gramStart"/>
      <w:r>
        <w:rPr>
          <w:rFonts w:ascii="Times New Roman" w:hAnsi="Times New Roman"/>
          <w:sz w:val="24"/>
          <w:szCs w:val="24"/>
        </w:rPr>
        <w:t>霖</w:t>
      </w:r>
      <w:proofErr w:type="gramEnd"/>
      <w:r>
        <w:rPr>
          <w:rFonts w:ascii="Times New Roman" w:hAnsi="Times New Roman"/>
          <w:sz w:val="24"/>
          <w:szCs w:val="24"/>
        </w:rPr>
        <w:t>生物科技有限公司</w:t>
      </w:r>
    </w:p>
    <w:p w14:paraId="0AD49CCA"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结论：</w:t>
      </w:r>
      <w:r>
        <w:rPr>
          <w:rFonts w:ascii="Times New Roman" w:hAnsi="Times New Roman" w:hint="eastAsia"/>
          <w:sz w:val="24"/>
          <w:szCs w:val="24"/>
        </w:rPr>
        <w:t>根据《中华人民共和国药品管理法》及有关规定，经审查，</w:t>
      </w:r>
      <w:r>
        <w:rPr>
          <w:rFonts w:ascii="Times New Roman" w:hAnsi="Times New Roman" w:hint="eastAsia"/>
          <w:sz w:val="24"/>
          <w:szCs w:val="24"/>
        </w:rPr>
        <w:t>2025</w:t>
      </w:r>
      <w:r>
        <w:rPr>
          <w:rFonts w:ascii="Times New Roman" w:hAnsi="Times New Roman" w:hint="eastAsia"/>
          <w:sz w:val="24"/>
          <w:szCs w:val="24"/>
        </w:rPr>
        <w:t>年</w:t>
      </w:r>
      <w:r>
        <w:rPr>
          <w:rFonts w:ascii="Times New Roman" w:hAnsi="Times New Roman" w:hint="eastAsia"/>
          <w:sz w:val="24"/>
          <w:szCs w:val="24"/>
        </w:rPr>
        <w:t>3</w:t>
      </w:r>
      <w:r>
        <w:rPr>
          <w:rFonts w:ascii="Times New Roman" w:hAnsi="Times New Roman" w:hint="eastAsia"/>
          <w:sz w:val="24"/>
          <w:szCs w:val="24"/>
        </w:rPr>
        <w:t>月</w:t>
      </w:r>
      <w:r>
        <w:rPr>
          <w:rFonts w:ascii="Times New Roman" w:hAnsi="Times New Roman" w:hint="eastAsia"/>
          <w:sz w:val="24"/>
          <w:szCs w:val="24"/>
        </w:rPr>
        <w:t>17</w:t>
      </w:r>
      <w:r>
        <w:rPr>
          <w:rFonts w:ascii="Times New Roman" w:hAnsi="Times New Roman" w:hint="eastAsia"/>
          <w:sz w:val="24"/>
          <w:szCs w:val="24"/>
        </w:rPr>
        <w:t>日受理的奈瑞可韦片临床试验申请符合药品注册的有关要求，同意本品开展本品拟用于慢性乙型肝炎的治疗的临床试验。临床试验方案名称：评价</w:t>
      </w:r>
      <w:r>
        <w:rPr>
          <w:rFonts w:ascii="Times New Roman" w:hAnsi="Times New Roman" w:hint="eastAsia"/>
          <w:sz w:val="24"/>
          <w:szCs w:val="24"/>
        </w:rPr>
        <w:t>GST-HG131</w:t>
      </w:r>
      <w:r>
        <w:rPr>
          <w:rFonts w:ascii="Times New Roman" w:hAnsi="Times New Roman" w:hint="eastAsia"/>
          <w:sz w:val="24"/>
          <w:szCs w:val="24"/>
        </w:rPr>
        <w:t>联合</w:t>
      </w:r>
      <w:r>
        <w:rPr>
          <w:rFonts w:ascii="Times New Roman" w:hAnsi="Times New Roman" w:hint="eastAsia"/>
          <w:sz w:val="24"/>
          <w:szCs w:val="24"/>
        </w:rPr>
        <w:t>GST-HG141</w:t>
      </w:r>
      <w:r>
        <w:rPr>
          <w:rFonts w:ascii="Times New Roman" w:hAnsi="Times New Roman" w:hint="eastAsia"/>
          <w:sz w:val="24"/>
          <w:szCs w:val="24"/>
        </w:rPr>
        <w:t>在慢性乙型肝炎患者中的安全性、有效性的随机、双盲、安慰剂对照的</w:t>
      </w:r>
      <w:r>
        <w:rPr>
          <w:rFonts w:ascii="Times New Roman" w:hAnsi="Times New Roman" w:hint="eastAsia"/>
          <w:sz w:val="24"/>
          <w:szCs w:val="24"/>
        </w:rPr>
        <w:t>II</w:t>
      </w:r>
      <w:r>
        <w:rPr>
          <w:rFonts w:ascii="Times New Roman" w:hAnsi="Times New Roman" w:hint="eastAsia"/>
          <w:sz w:val="24"/>
          <w:szCs w:val="24"/>
        </w:rPr>
        <w:t>期临床研究</w:t>
      </w:r>
      <w:r>
        <w:rPr>
          <w:rFonts w:ascii="Times New Roman" w:hAnsi="Times New Roman"/>
          <w:sz w:val="24"/>
          <w:szCs w:val="24"/>
        </w:rPr>
        <w:t>。</w:t>
      </w:r>
    </w:p>
    <w:p w14:paraId="198FAE9A"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sz w:val="24"/>
          <w:szCs w:val="24"/>
        </w:rPr>
        <w:t>药品名称：</w:t>
      </w:r>
      <w:r>
        <w:rPr>
          <w:rFonts w:ascii="Times New Roman" w:hAnsi="Times New Roman" w:hint="eastAsia"/>
          <w:sz w:val="24"/>
          <w:szCs w:val="24"/>
        </w:rPr>
        <w:t>GST-HG131</w:t>
      </w:r>
      <w:r>
        <w:rPr>
          <w:rFonts w:ascii="Times New Roman" w:hAnsi="Times New Roman" w:hint="eastAsia"/>
          <w:sz w:val="24"/>
          <w:szCs w:val="24"/>
        </w:rPr>
        <w:t>片</w:t>
      </w:r>
    </w:p>
    <w:p w14:paraId="382A0CC8"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lastRenderedPageBreak/>
        <w:t>申请事项：境内生产药品</w:t>
      </w:r>
      <w:r>
        <w:rPr>
          <w:rFonts w:ascii="Times New Roman" w:hAnsi="Times New Roman" w:hint="eastAsia"/>
          <w:sz w:val="24"/>
          <w:szCs w:val="24"/>
        </w:rPr>
        <w:t>注册临床试验</w:t>
      </w:r>
    </w:p>
    <w:p w14:paraId="40392F65"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受理号</w:t>
      </w:r>
      <w:r>
        <w:rPr>
          <w:rFonts w:ascii="Times New Roman" w:hAnsi="Times New Roman" w:hint="eastAsia"/>
          <w:sz w:val="24"/>
          <w:szCs w:val="24"/>
        </w:rPr>
        <w:t>和规格</w:t>
      </w:r>
      <w:r>
        <w:rPr>
          <w:rFonts w:ascii="Times New Roman" w:hAnsi="Times New Roman"/>
          <w:sz w:val="24"/>
          <w:szCs w:val="24"/>
        </w:rPr>
        <w:t>：</w:t>
      </w:r>
      <w:r>
        <w:rPr>
          <w:rFonts w:ascii="Times New Roman" w:hAnsi="Times New Roman"/>
          <w:sz w:val="24"/>
          <w:szCs w:val="24"/>
        </w:rPr>
        <w:t>CXH</w:t>
      </w:r>
      <w:r>
        <w:rPr>
          <w:rFonts w:ascii="Times New Roman" w:hAnsi="Times New Roman" w:hint="eastAsia"/>
          <w:sz w:val="24"/>
          <w:szCs w:val="24"/>
        </w:rPr>
        <w:t>L2500294</w:t>
      </w:r>
      <w:r>
        <w:rPr>
          <w:rFonts w:ascii="Times New Roman" w:hAnsi="Times New Roman" w:hint="eastAsia"/>
          <w:sz w:val="24"/>
          <w:szCs w:val="24"/>
        </w:rPr>
        <w:t>（</w:t>
      </w:r>
      <w:r>
        <w:rPr>
          <w:rFonts w:ascii="Times New Roman" w:hAnsi="Times New Roman" w:hint="eastAsia"/>
          <w:sz w:val="24"/>
          <w:szCs w:val="24"/>
        </w:rPr>
        <w:t>10mg</w:t>
      </w:r>
      <w:r>
        <w:rPr>
          <w:rFonts w:ascii="Times New Roman" w:hAnsi="Times New Roman" w:hint="eastAsia"/>
          <w:sz w:val="24"/>
          <w:szCs w:val="24"/>
        </w:rPr>
        <w:t>）、</w:t>
      </w:r>
      <w:r>
        <w:rPr>
          <w:rFonts w:ascii="Times New Roman" w:hAnsi="Times New Roman"/>
          <w:sz w:val="24"/>
          <w:szCs w:val="24"/>
        </w:rPr>
        <w:t>CXH</w:t>
      </w:r>
      <w:r>
        <w:rPr>
          <w:rFonts w:ascii="Times New Roman" w:hAnsi="Times New Roman" w:hint="eastAsia"/>
          <w:sz w:val="24"/>
          <w:szCs w:val="24"/>
        </w:rPr>
        <w:t>L2500295</w:t>
      </w:r>
      <w:r>
        <w:rPr>
          <w:rFonts w:ascii="Times New Roman" w:hAnsi="Times New Roman" w:hint="eastAsia"/>
          <w:sz w:val="24"/>
          <w:szCs w:val="24"/>
        </w:rPr>
        <w:t>（</w:t>
      </w:r>
      <w:r>
        <w:rPr>
          <w:rFonts w:ascii="Times New Roman" w:hAnsi="Times New Roman" w:hint="eastAsia"/>
          <w:sz w:val="24"/>
          <w:szCs w:val="24"/>
        </w:rPr>
        <w:t>50mg</w:t>
      </w:r>
      <w:r>
        <w:rPr>
          <w:rFonts w:ascii="Times New Roman" w:hAnsi="Times New Roman" w:hint="eastAsia"/>
          <w:sz w:val="24"/>
          <w:szCs w:val="24"/>
        </w:rPr>
        <w:t>）</w:t>
      </w:r>
    </w:p>
    <w:p w14:paraId="6CDC0E41"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申请人：福建广生中</w:t>
      </w:r>
      <w:proofErr w:type="gramStart"/>
      <w:r>
        <w:rPr>
          <w:rFonts w:ascii="Times New Roman" w:hAnsi="Times New Roman"/>
          <w:sz w:val="24"/>
          <w:szCs w:val="24"/>
        </w:rPr>
        <w:t>霖</w:t>
      </w:r>
      <w:proofErr w:type="gramEnd"/>
      <w:r>
        <w:rPr>
          <w:rFonts w:ascii="Times New Roman" w:hAnsi="Times New Roman"/>
          <w:sz w:val="24"/>
          <w:szCs w:val="24"/>
        </w:rPr>
        <w:t>生物科技有限公司</w:t>
      </w:r>
    </w:p>
    <w:p w14:paraId="511BC847" w14:textId="77777777" w:rsidR="00BC5737" w:rsidRDefault="003C1454">
      <w:pPr>
        <w:adjustRightInd w:val="0"/>
        <w:snapToGrid w:val="0"/>
        <w:spacing w:line="360" w:lineRule="auto"/>
        <w:ind w:firstLineChars="200" w:firstLine="480"/>
        <w:rPr>
          <w:rFonts w:ascii="Times New Roman" w:hAnsi="Times New Roman"/>
          <w:sz w:val="24"/>
          <w:szCs w:val="24"/>
        </w:rPr>
      </w:pPr>
      <w:r>
        <w:rPr>
          <w:rFonts w:ascii="Times New Roman" w:hAnsi="Times New Roman"/>
          <w:sz w:val="24"/>
          <w:szCs w:val="24"/>
        </w:rPr>
        <w:t>结论：</w:t>
      </w:r>
      <w:r>
        <w:rPr>
          <w:rFonts w:ascii="Times New Roman" w:hAnsi="Times New Roman" w:hint="eastAsia"/>
          <w:sz w:val="24"/>
          <w:szCs w:val="24"/>
        </w:rPr>
        <w:t>根据《中华人民共和国药品管理法》及有关规定，经审查，</w:t>
      </w:r>
      <w:r>
        <w:rPr>
          <w:rFonts w:ascii="Times New Roman" w:hAnsi="Times New Roman" w:hint="eastAsia"/>
          <w:sz w:val="24"/>
          <w:szCs w:val="24"/>
        </w:rPr>
        <w:t>2025</w:t>
      </w:r>
      <w:r>
        <w:rPr>
          <w:rFonts w:ascii="Times New Roman" w:hAnsi="Times New Roman" w:hint="eastAsia"/>
          <w:sz w:val="24"/>
          <w:szCs w:val="24"/>
        </w:rPr>
        <w:t>年</w:t>
      </w:r>
      <w:r>
        <w:rPr>
          <w:rFonts w:ascii="Times New Roman" w:hAnsi="Times New Roman" w:hint="eastAsia"/>
          <w:sz w:val="24"/>
          <w:szCs w:val="24"/>
        </w:rPr>
        <w:t>3</w:t>
      </w:r>
      <w:r>
        <w:rPr>
          <w:rFonts w:ascii="Times New Roman" w:hAnsi="Times New Roman" w:hint="eastAsia"/>
          <w:sz w:val="24"/>
          <w:szCs w:val="24"/>
        </w:rPr>
        <w:t>月</w:t>
      </w:r>
      <w:r>
        <w:rPr>
          <w:rFonts w:ascii="Times New Roman" w:hAnsi="Times New Roman" w:hint="eastAsia"/>
          <w:sz w:val="24"/>
          <w:szCs w:val="24"/>
        </w:rPr>
        <w:t>17</w:t>
      </w:r>
      <w:r>
        <w:rPr>
          <w:rFonts w:ascii="Times New Roman" w:hAnsi="Times New Roman" w:hint="eastAsia"/>
          <w:sz w:val="24"/>
          <w:szCs w:val="24"/>
        </w:rPr>
        <w:t>日受理的</w:t>
      </w:r>
      <w:r>
        <w:rPr>
          <w:rFonts w:ascii="Times New Roman" w:hAnsi="Times New Roman" w:hint="eastAsia"/>
          <w:sz w:val="24"/>
          <w:szCs w:val="24"/>
        </w:rPr>
        <w:t>GST-HG131</w:t>
      </w:r>
      <w:r>
        <w:rPr>
          <w:rFonts w:ascii="Times New Roman" w:hAnsi="Times New Roman" w:hint="eastAsia"/>
          <w:sz w:val="24"/>
          <w:szCs w:val="24"/>
        </w:rPr>
        <w:t>片临床试验申请符合药品注册的有关要求，同意本品开展本品拟用于慢性乙型肝炎的治疗的临床试验。临床试验方案名称：评价</w:t>
      </w:r>
      <w:r>
        <w:rPr>
          <w:rFonts w:ascii="Times New Roman" w:hAnsi="Times New Roman" w:hint="eastAsia"/>
          <w:sz w:val="24"/>
          <w:szCs w:val="24"/>
        </w:rPr>
        <w:t>GST-HG131</w:t>
      </w:r>
      <w:r>
        <w:rPr>
          <w:rFonts w:ascii="Times New Roman" w:hAnsi="Times New Roman" w:hint="eastAsia"/>
          <w:sz w:val="24"/>
          <w:szCs w:val="24"/>
        </w:rPr>
        <w:t>联合</w:t>
      </w:r>
      <w:r>
        <w:rPr>
          <w:rFonts w:ascii="Times New Roman" w:hAnsi="Times New Roman" w:hint="eastAsia"/>
          <w:sz w:val="24"/>
          <w:szCs w:val="24"/>
        </w:rPr>
        <w:t>GST-HG141</w:t>
      </w:r>
      <w:r>
        <w:rPr>
          <w:rFonts w:ascii="Times New Roman" w:hAnsi="Times New Roman" w:hint="eastAsia"/>
          <w:sz w:val="24"/>
          <w:szCs w:val="24"/>
        </w:rPr>
        <w:t>在慢性乙型肝炎患者中的安全性、有效性的随机、双盲、安慰剂对照的</w:t>
      </w:r>
      <w:r>
        <w:rPr>
          <w:rFonts w:ascii="Times New Roman" w:hAnsi="Times New Roman" w:hint="eastAsia"/>
          <w:sz w:val="24"/>
          <w:szCs w:val="24"/>
        </w:rPr>
        <w:t>II</w:t>
      </w:r>
      <w:r>
        <w:rPr>
          <w:rFonts w:ascii="Times New Roman" w:hAnsi="Times New Roman" w:hint="eastAsia"/>
          <w:sz w:val="24"/>
          <w:szCs w:val="24"/>
        </w:rPr>
        <w:t>期临床研究。</w:t>
      </w:r>
    </w:p>
    <w:p w14:paraId="31DF1E97" w14:textId="77777777" w:rsidR="00BC5737" w:rsidRDefault="003C1454">
      <w:pPr>
        <w:adjustRightInd w:val="0"/>
        <w:snapToGrid w:val="0"/>
        <w:spacing w:beforeLines="50" w:before="156" w:line="360" w:lineRule="auto"/>
        <w:ind w:firstLine="482"/>
        <w:rPr>
          <w:rFonts w:ascii="Times New Roman" w:hAnsi="Times New Roman"/>
          <w:sz w:val="24"/>
          <w:szCs w:val="24"/>
        </w:rPr>
      </w:pPr>
      <w:r>
        <w:rPr>
          <w:rFonts w:ascii="Times New Roman" w:hAnsi="Times New Roman" w:hint="eastAsia"/>
          <w:sz w:val="24"/>
          <w:szCs w:val="24"/>
        </w:rPr>
        <w:t>GST-HG131</w:t>
      </w:r>
      <w:r>
        <w:rPr>
          <w:rFonts w:ascii="Times New Roman" w:hAnsi="Times New Roman" w:hint="eastAsia"/>
          <w:sz w:val="24"/>
          <w:szCs w:val="24"/>
        </w:rPr>
        <w:t>和</w:t>
      </w:r>
      <w:r>
        <w:rPr>
          <w:rFonts w:ascii="Times New Roman" w:hAnsi="Times New Roman" w:hint="eastAsia"/>
          <w:sz w:val="24"/>
          <w:szCs w:val="24"/>
        </w:rPr>
        <w:t>GST-HG141</w:t>
      </w:r>
      <w:r>
        <w:rPr>
          <w:rFonts w:ascii="Times New Roman" w:hAnsi="Times New Roman" w:hint="eastAsia"/>
          <w:sz w:val="24"/>
          <w:szCs w:val="24"/>
        </w:rPr>
        <w:t>均是公司拥有自主知识产权的一类创新药。基于</w:t>
      </w:r>
      <w:r>
        <w:rPr>
          <w:rFonts w:ascii="Times New Roman" w:hAnsi="Times New Roman" w:hint="eastAsia"/>
          <w:sz w:val="24"/>
          <w:szCs w:val="24"/>
        </w:rPr>
        <w:t>GST-HG131</w:t>
      </w:r>
      <w:r>
        <w:rPr>
          <w:rFonts w:ascii="Times New Roman" w:hAnsi="Times New Roman" w:hint="eastAsia"/>
          <w:sz w:val="24"/>
          <w:szCs w:val="24"/>
        </w:rPr>
        <w:t>和</w:t>
      </w:r>
      <w:r>
        <w:rPr>
          <w:rFonts w:ascii="Times New Roman" w:hAnsi="Times New Roman" w:hint="eastAsia"/>
          <w:sz w:val="24"/>
          <w:szCs w:val="24"/>
        </w:rPr>
        <w:t>GST-HG141</w:t>
      </w:r>
      <w:r>
        <w:rPr>
          <w:rFonts w:ascii="Times New Roman" w:hAnsi="Times New Roman" w:hint="eastAsia"/>
          <w:sz w:val="24"/>
          <w:szCs w:val="24"/>
        </w:rPr>
        <w:t>的临床前研究和已披露的临床研究结果，</w:t>
      </w:r>
      <w:r>
        <w:rPr>
          <w:rFonts w:ascii="Times New Roman" w:hAnsi="Times New Roman" w:hint="eastAsia"/>
          <w:sz w:val="24"/>
          <w:szCs w:val="24"/>
        </w:rPr>
        <w:t>GST-HG131</w:t>
      </w:r>
      <w:r>
        <w:rPr>
          <w:rFonts w:ascii="Times New Roman" w:hAnsi="Times New Roman" w:hint="eastAsia"/>
          <w:sz w:val="24"/>
          <w:szCs w:val="24"/>
        </w:rPr>
        <w:t>片对</w:t>
      </w:r>
      <w:r>
        <w:rPr>
          <w:rFonts w:ascii="Times New Roman" w:hAnsi="Times New Roman" w:hint="eastAsia"/>
          <w:sz w:val="24"/>
          <w:szCs w:val="24"/>
        </w:rPr>
        <w:t>HBsAg</w:t>
      </w:r>
      <w:r>
        <w:rPr>
          <w:rFonts w:ascii="Times New Roman" w:hAnsi="Times New Roman" w:hint="eastAsia"/>
          <w:sz w:val="24"/>
          <w:szCs w:val="24"/>
        </w:rPr>
        <w:t>具有明显抑制作用，</w:t>
      </w:r>
      <w:r>
        <w:rPr>
          <w:rFonts w:ascii="Times New Roman" w:hAnsi="Times New Roman" w:hint="eastAsia"/>
          <w:sz w:val="24"/>
          <w:szCs w:val="24"/>
        </w:rPr>
        <w:t>GST-HG141</w:t>
      </w:r>
      <w:r>
        <w:rPr>
          <w:rFonts w:ascii="Times New Roman" w:hAnsi="Times New Roman" w:hint="eastAsia"/>
          <w:sz w:val="24"/>
          <w:szCs w:val="24"/>
        </w:rPr>
        <w:t>片对</w:t>
      </w:r>
      <w:r>
        <w:rPr>
          <w:rFonts w:ascii="Times New Roman" w:hAnsi="Times New Roman" w:hint="eastAsia"/>
          <w:sz w:val="24"/>
          <w:szCs w:val="24"/>
        </w:rPr>
        <w:t>HBV DNA</w:t>
      </w:r>
      <w:r>
        <w:rPr>
          <w:rFonts w:ascii="Times New Roman" w:hAnsi="Times New Roman" w:hint="eastAsia"/>
          <w:sz w:val="24"/>
          <w:szCs w:val="24"/>
        </w:rPr>
        <w:t>有显著的抑制效应且明显降低</w:t>
      </w:r>
      <w:proofErr w:type="spellStart"/>
      <w:r>
        <w:rPr>
          <w:rFonts w:ascii="Times New Roman" w:hAnsi="Times New Roman" w:hint="eastAsia"/>
          <w:sz w:val="24"/>
          <w:szCs w:val="24"/>
        </w:rPr>
        <w:t>pgRNA</w:t>
      </w:r>
      <w:proofErr w:type="spellEnd"/>
      <w:r>
        <w:rPr>
          <w:rFonts w:ascii="Times New Roman" w:hAnsi="Times New Roman" w:hint="eastAsia"/>
          <w:sz w:val="24"/>
          <w:szCs w:val="24"/>
        </w:rPr>
        <w:t>，间接体现了对</w:t>
      </w:r>
      <w:r>
        <w:rPr>
          <w:rFonts w:ascii="Times New Roman" w:hAnsi="Times New Roman" w:hint="eastAsia"/>
          <w:sz w:val="24"/>
          <w:szCs w:val="24"/>
        </w:rPr>
        <w:t xml:space="preserve">HBV </w:t>
      </w:r>
      <w:proofErr w:type="spellStart"/>
      <w:r>
        <w:rPr>
          <w:rFonts w:ascii="Times New Roman" w:hAnsi="Times New Roman" w:hint="eastAsia"/>
          <w:sz w:val="24"/>
          <w:szCs w:val="24"/>
        </w:rPr>
        <w:t>cccDNA</w:t>
      </w:r>
      <w:proofErr w:type="spellEnd"/>
      <w:r>
        <w:rPr>
          <w:rFonts w:ascii="Times New Roman" w:hAnsi="Times New Roman" w:hint="eastAsia"/>
          <w:sz w:val="24"/>
          <w:szCs w:val="24"/>
        </w:rPr>
        <w:t>的潜在有效抑制和耗竭作用，两者在抗病毒机制上预计协同互补。</w:t>
      </w:r>
      <w:r>
        <w:rPr>
          <w:rFonts w:ascii="Times New Roman" w:hAnsi="Times New Roman" w:hint="eastAsia"/>
          <w:sz w:val="24"/>
          <w:szCs w:val="24"/>
        </w:rPr>
        <w:t xml:space="preserve">GST-HG131 </w:t>
      </w:r>
      <w:r>
        <w:rPr>
          <w:rFonts w:ascii="Times New Roman" w:hAnsi="Times New Roman" w:hint="eastAsia"/>
          <w:sz w:val="24"/>
          <w:szCs w:val="24"/>
        </w:rPr>
        <w:t>联合</w:t>
      </w:r>
      <w:r>
        <w:rPr>
          <w:rFonts w:ascii="Times New Roman" w:hAnsi="Times New Roman" w:hint="eastAsia"/>
          <w:sz w:val="24"/>
          <w:szCs w:val="24"/>
        </w:rPr>
        <w:t>GST-HG141</w:t>
      </w:r>
      <w:r>
        <w:rPr>
          <w:rFonts w:ascii="Times New Roman" w:hAnsi="Times New Roman" w:hint="eastAsia"/>
          <w:sz w:val="24"/>
          <w:szCs w:val="24"/>
        </w:rPr>
        <w:t>的</w:t>
      </w:r>
      <w:r>
        <w:rPr>
          <w:rFonts w:ascii="Times New Roman" w:hAnsi="Times New Roman" w:hint="eastAsia"/>
          <w:sz w:val="24"/>
          <w:szCs w:val="24"/>
        </w:rPr>
        <w:t xml:space="preserve"> II</w:t>
      </w:r>
      <w:r>
        <w:rPr>
          <w:rFonts w:ascii="Times New Roman" w:hAnsi="Times New Roman" w:hint="eastAsia"/>
          <w:sz w:val="24"/>
          <w:szCs w:val="24"/>
        </w:rPr>
        <w:t>期临床研究旨在探索基于核苷（酸）类似物基础治疗上，</w:t>
      </w:r>
      <w:r>
        <w:rPr>
          <w:rFonts w:ascii="Times New Roman" w:hAnsi="Times New Roman" w:hint="eastAsia"/>
          <w:sz w:val="24"/>
          <w:szCs w:val="24"/>
        </w:rPr>
        <w:t>GST-HG131</w:t>
      </w:r>
      <w:r>
        <w:rPr>
          <w:rFonts w:ascii="Times New Roman" w:hAnsi="Times New Roman" w:hint="eastAsia"/>
          <w:sz w:val="24"/>
          <w:szCs w:val="24"/>
        </w:rPr>
        <w:t>片联合</w:t>
      </w:r>
      <w:r>
        <w:rPr>
          <w:rFonts w:ascii="Times New Roman" w:hAnsi="Times New Roman" w:hint="eastAsia"/>
          <w:sz w:val="24"/>
          <w:szCs w:val="24"/>
        </w:rPr>
        <w:t>GST-HG141</w:t>
      </w:r>
      <w:r>
        <w:rPr>
          <w:rFonts w:ascii="Times New Roman" w:hAnsi="Times New Roman" w:hint="eastAsia"/>
          <w:sz w:val="24"/>
          <w:szCs w:val="24"/>
        </w:rPr>
        <w:t>片在慢性乙型肝炎患者中的安全性、耐受性、有效性，以期为乙肝患者提供更有效的治疗选择，致力于实现公司乙肝登峰计划，三联全口服</w:t>
      </w:r>
      <w:proofErr w:type="gramStart"/>
      <w:r>
        <w:rPr>
          <w:rFonts w:ascii="Times New Roman" w:hAnsi="Times New Roman" w:hint="eastAsia"/>
          <w:sz w:val="24"/>
          <w:szCs w:val="24"/>
        </w:rPr>
        <w:t>用药挑战</w:t>
      </w:r>
      <w:proofErr w:type="gramEnd"/>
      <w:r>
        <w:rPr>
          <w:rFonts w:ascii="Times New Roman" w:hAnsi="Times New Roman" w:hint="eastAsia"/>
          <w:sz w:val="24"/>
          <w:szCs w:val="24"/>
        </w:rPr>
        <w:t>乙肝临床治愈。</w:t>
      </w:r>
    </w:p>
    <w:p w14:paraId="57A555AE" w14:textId="77777777" w:rsidR="00BC5737" w:rsidRDefault="003C1454">
      <w:pPr>
        <w:adjustRightInd w:val="0"/>
        <w:snapToGrid w:val="0"/>
        <w:spacing w:beforeLines="50" w:before="156" w:line="360" w:lineRule="auto"/>
        <w:ind w:firstLine="482"/>
        <w:rPr>
          <w:rStyle w:val="fontstyle01"/>
          <w:rFonts w:ascii="Times New Roman" w:hAnsi="Times New Roman" w:hint="default"/>
          <w:b/>
          <w:bCs/>
        </w:rPr>
      </w:pPr>
      <w:r>
        <w:rPr>
          <w:rStyle w:val="fontstyle01"/>
          <w:rFonts w:ascii="Times New Roman" w:hAnsi="Times New Roman" w:hint="default"/>
          <w:b/>
          <w:bCs/>
        </w:rPr>
        <w:t>二、风险提示</w:t>
      </w:r>
    </w:p>
    <w:p w14:paraId="7CD4D158" w14:textId="77777777" w:rsidR="00BC5737" w:rsidRDefault="003C1454">
      <w:pPr>
        <w:spacing w:line="360" w:lineRule="auto"/>
        <w:ind w:firstLineChars="200" w:firstLine="480"/>
        <w:rPr>
          <w:color w:val="000000"/>
          <w:kern w:val="0"/>
          <w:sz w:val="24"/>
          <w:szCs w:val="24"/>
        </w:rPr>
      </w:pPr>
      <w:r>
        <w:rPr>
          <w:rFonts w:hint="eastAsia"/>
          <w:color w:val="000000"/>
          <w:kern w:val="0"/>
          <w:sz w:val="24"/>
          <w:szCs w:val="24"/>
        </w:rPr>
        <w:t>本次</w:t>
      </w:r>
      <w:r>
        <w:rPr>
          <w:rFonts w:hint="eastAsia"/>
          <w:color w:val="000000"/>
          <w:kern w:val="0"/>
          <w:sz w:val="24"/>
          <w:szCs w:val="24"/>
        </w:rPr>
        <w:t>GST-HG1</w:t>
      </w:r>
      <w:r>
        <w:rPr>
          <w:rFonts w:hint="eastAsia"/>
          <w:color w:val="000000"/>
          <w:kern w:val="0"/>
          <w:sz w:val="24"/>
          <w:szCs w:val="24"/>
        </w:rPr>
        <w:t>31</w:t>
      </w:r>
      <w:r>
        <w:rPr>
          <w:rFonts w:hint="eastAsia"/>
          <w:color w:val="000000"/>
          <w:kern w:val="0"/>
          <w:sz w:val="24"/>
          <w:szCs w:val="24"/>
        </w:rPr>
        <w:t>联合</w:t>
      </w:r>
      <w:r>
        <w:rPr>
          <w:rFonts w:hint="eastAsia"/>
          <w:color w:val="000000"/>
          <w:kern w:val="0"/>
          <w:sz w:val="24"/>
          <w:szCs w:val="24"/>
        </w:rPr>
        <w:t>GST-HG141</w:t>
      </w:r>
      <w:r>
        <w:rPr>
          <w:rFonts w:hint="eastAsia"/>
          <w:color w:val="000000"/>
          <w:kern w:val="0"/>
          <w:sz w:val="24"/>
          <w:szCs w:val="24"/>
        </w:rPr>
        <w:t>的</w:t>
      </w:r>
      <w:r>
        <w:rPr>
          <w:rFonts w:hint="eastAsia"/>
          <w:color w:val="000000"/>
          <w:kern w:val="0"/>
          <w:sz w:val="24"/>
          <w:szCs w:val="24"/>
        </w:rPr>
        <w:t>II</w:t>
      </w:r>
      <w:r>
        <w:rPr>
          <w:rFonts w:hint="eastAsia"/>
          <w:color w:val="000000"/>
          <w:kern w:val="0"/>
          <w:sz w:val="24"/>
          <w:szCs w:val="24"/>
        </w:rPr>
        <w:t>期临床试验申请获得批准，标志着公司三</w:t>
      </w:r>
      <w:proofErr w:type="gramStart"/>
      <w:r>
        <w:rPr>
          <w:rFonts w:hint="eastAsia"/>
          <w:color w:val="000000"/>
          <w:kern w:val="0"/>
          <w:sz w:val="24"/>
          <w:szCs w:val="24"/>
        </w:rPr>
        <w:t>联方案</w:t>
      </w:r>
      <w:proofErr w:type="gramEnd"/>
      <w:r>
        <w:rPr>
          <w:rFonts w:hint="eastAsia"/>
          <w:color w:val="000000"/>
          <w:kern w:val="0"/>
          <w:sz w:val="24"/>
          <w:szCs w:val="24"/>
        </w:rPr>
        <w:t>乙肝登峰计划即将进入临床验证，后续尚需进一步开展系列临床研究并经国家药品审评部门审批通过后方可上市。创新药研发周期长，投入大，风险高，容易受到技术、审批、政策等多方面因素的影响，临床研究存在结果不及预期甚至临床研究失败的风险，后续能否获得批准上市存在不确定性。敬请广大投资者谨慎决策，注意防范投资风险。</w:t>
      </w:r>
      <w:r>
        <w:rPr>
          <w:rFonts w:hint="eastAsia"/>
          <w:color w:val="000000"/>
          <w:kern w:val="0"/>
          <w:sz w:val="24"/>
          <w:szCs w:val="24"/>
        </w:rPr>
        <w:t xml:space="preserve"> </w:t>
      </w:r>
    </w:p>
    <w:p w14:paraId="0B7014B5" w14:textId="77777777" w:rsidR="00BC5737" w:rsidRDefault="003C1454">
      <w:pPr>
        <w:spacing w:line="360" w:lineRule="auto"/>
        <w:ind w:firstLineChars="200" w:firstLine="480"/>
        <w:rPr>
          <w:sz w:val="24"/>
          <w:szCs w:val="24"/>
        </w:rPr>
      </w:pPr>
      <w:r>
        <w:rPr>
          <w:rFonts w:hint="eastAsia"/>
          <w:color w:val="000000"/>
          <w:kern w:val="0"/>
          <w:sz w:val="24"/>
          <w:szCs w:val="24"/>
        </w:rPr>
        <w:t>公司将按国家有关规定积极推进上述研发项目，并及时对项目后续进展情况履行信息披露义务。</w:t>
      </w:r>
    </w:p>
    <w:p w14:paraId="65D7216B" w14:textId="77777777" w:rsidR="00BC5737" w:rsidRDefault="003C1454">
      <w:pPr>
        <w:pStyle w:val="a8"/>
        <w:spacing w:beforeLines="50" w:before="156" w:beforeAutospacing="0" w:after="0" w:afterAutospacing="0" w:line="360" w:lineRule="auto"/>
        <w:ind w:firstLineChars="200" w:firstLine="480"/>
        <w:rPr>
          <w:rFonts w:ascii="Times New Roman" w:hAnsi="Times New Roman" w:cs="Times New Roman"/>
          <w:kern w:val="2"/>
          <w:szCs w:val="21"/>
        </w:rPr>
      </w:pPr>
      <w:r>
        <w:t>特此公告！</w:t>
      </w:r>
    </w:p>
    <w:p w14:paraId="0929F285" w14:textId="77777777" w:rsidR="00BC5737" w:rsidRDefault="003C1454">
      <w:pPr>
        <w:widowControl/>
        <w:adjustRightInd w:val="0"/>
        <w:snapToGrid w:val="0"/>
        <w:spacing w:line="360" w:lineRule="auto"/>
        <w:ind w:firstLineChars="200" w:firstLine="480"/>
        <w:jc w:val="right"/>
        <w:rPr>
          <w:rFonts w:ascii="Times New Roman" w:hAnsi="Times New Roman"/>
          <w:sz w:val="24"/>
          <w:szCs w:val="21"/>
        </w:rPr>
      </w:pPr>
      <w:r>
        <w:rPr>
          <w:rFonts w:ascii="Times New Roman" w:hAnsi="Times New Roman"/>
          <w:sz w:val="24"/>
          <w:szCs w:val="21"/>
        </w:rPr>
        <w:t>福建广生堂药业股份有限公司董事会</w:t>
      </w:r>
    </w:p>
    <w:p w14:paraId="29499A54" w14:textId="77777777" w:rsidR="00BC5737" w:rsidRDefault="003C1454">
      <w:pPr>
        <w:widowControl/>
        <w:adjustRightInd w:val="0"/>
        <w:snapToGrid w:val="0"/>
        <w:spacing w:line="360" w:lineRule="auto"/>
        <w:ind w:firstLineChars="2300" w:firstLine="5520"/>
        <w:jc w:val="left"/>
        <w:rPr>
          <w:rFonts w:ascii="Times New Roman" w:hAnsi="Times New Roman"/>
          <w:sz w:val="24"/>
          <w:szCs w:val="24"/>
        </w:rPr>
      </w:pPr>
      <w:r>
        <w:rPr>
          <w:rFonts w:ascii="Times New Roman" w:hAnsi="Times New Roman"/>
          <w:sz w:val="24"/>
          <w:szCs w:val="21"/>
        </w:rPr>
        <w:t>20</w:t>
      </w:r>
      <w:r>
        <w:rPr>
          <w:rFonts w:ascii="Times New Roman" w:hAnsi="Times New Roman" w:hint="eastAsia"/>
          <w:sz w:val="24"/>
          <w:szCs w:val="21"/>
        </w:rPr>
        <w:t>25</w:t>
      </w:r>
      <w:r>
        <w:rPr>
          <w:rFonts w:ascii="Times New Roman" w:hAnsi="Times New Roman"/>
          <w:sz w:val="24"/>
          <w:szCs w:val="21"/>
        </w:rPr>
        <w:t>年</w:t>
      </w:r>
      <w:r>
        <w:rPr>
          <w:rFonts w:ascii="Times New Roman" w:hAnsi="Times New Roman" w:hint="eastAsia"/>
          <w:sz w:val="24"/>
          <w:szCs w:val="21"/>
        </w:rPr>
        <w:t>4</w:t>
      </w:r>
      <w:r>
        <w:rPr>
          <w:rFonts w:ascii="Times New Roman" w:hAnsi="Times New Roman"/>
          <w:sz w:val="24"/>
          <w:szCs w:val="21"/>
        </w:rPr>
        <w:t>月</w:t>
      </w:r>
      <w:r>
        <w:rPr>
          <w:rFonts w:ascii="Times New Roman" w:hAnsi="Times New Roman" w:hint="eastAsia"/>
          <w:sz w:val="24"/>
          <w:szCs w:val="21"/>
        </w:rPr>
        <w:t>24</w:t>
      </w:r>
      <w:r>
        <w:rPr>
          <w:rFonts w:ascii="Times New Roman" w:hAnsi="Times New Roman"/>
          <w:sz w:val="24"/>
          <w:szCs w:val="21"/>
        </w:rPr>
        <w:t>日</w:t>
      </w:r>
    </w:p>
    <w:sectPr w:rsidR="00BC5737">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9427CB" w14:textId="77777777" w:rsidR="00000000" w:rsidRDefault="003C1454">
      <w:r>
        <w:separator/>
      </w:r>
    </w:p>
  </w:endnote>
  <w:endnote w:type="continuationSeparator" w:id="0">
    <w:p w14:paraId="397D5524" w14:textId="77777777" w:rsidR="00000000" w:rsidRDefault="003C1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44A8D" w14:textId="77777777" w:rsidR="003C1454" w:rsidRDefault="003C1454">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061A2" w14:textId="604C8016" w:rsidR="00BC5737" w:rsidRDefault="003C1454" w:rsidP="003C1454">
    <w:pPr>
      <w:pStyle w:val="a4"/>
      <w:jc w:val="center"/>
      <w:rPr>
        <w:rFonts w:hint="eastAsia"/>
      </w:rPr>
    </w:pPr>
    <w:r>
      <w:fldChar w:fldCharType="begin"/>
    </w:r>
    <w:r>
      <w:instrText>PAGE   \* MERGEFORMAT</w:instrText>
    </w:r>
    <w:r>
      <w:fldChar w:fldCharType="separate"/>
    </w:r>
    <w:r>
      <w:rPr>
        <w:lang w:val="zh-CN"/>
      </w:rP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0AF35" w14:textId="77777777" w:rsidR="003C1454" w:rsidRDefault="003C145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26355" w14:textId="77777777" w:rsidR="00000000" w:rsidRDefault="003C1454">
      <w:r>
        <w:separator/>
      </w:r>
    </w:p>
  </w:footnote>
  <w:footnote w:type="continuationSeparator" w:id="0">
    <w:p w14:paraId="55F955E7" w14:textId="77777777" w:rsidR="00000000" w:rsidRDefault="003C145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921307" w14:textId="77777777" w:rsidR="00BC5737" w:rsidRDefault="003C1454">
    <w:pPr>
      <w:pStyle w:val="a6"/>
    </w:pPr>
    <w:r>
      <w:rPr>
        <w:noProof/>
      </w:rPr>
      <w:drawing>
        <wp:anchor distT="0" distB="0" distL="114300" distR="114300" simplePos="0" relativeHeight="251660288" behindDoc="1" locked="0" layoutInCell="0" allowOverlap="1" wp14:anchorId="69092DDD" wp14:editId="203166EE">
          <wp:simplePos x="0" y="0"/>
          <wp:positionH relativeFrom="margin">
            <wp:align>center</wp:align>
          </wp:positionH>
          <wp:positionV relativeFrom="margin">
            <wp:align>center</wp:align>
          </wp:positionV>
          <wp:extent cx="7559040" cy="10692130"/>
          <wp:effectExtent l="0" t="0" r="3810" b="13970"/>
          <wp:wrapNone/>
          <wp:docPr id="2"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D883E" w14:textId="77777777" w:rsidR="00BC5737" w:rsidRDefault="003C1454">
    <w:pPr>
      <w:pStyle w:val="a6"/>
      <w:tabs>
        <w:tab w:val="clear" w:pos="8306"/>
        <w:tab w:val="right" w:pos="9214"/>
      </w:tabs>
      <w:ind w:leftChars="-608" w:left="-1277" w:rightChars="-634" w:right="-1331" w:firstLine="1"/>
    </w:pPr>
    <w:r>
      <w:rPr>
        <w:noProof/>
      </w:rPr>
      <w:drawing>
        <wp:anchor distT="0" distB="0" distL="114300" distR="114300" simplePos="0" relativeHeight="251661312" behindDoc="1" locked="0" layoutInCell="0" allowOverlap="1" wp14:anchorId="224684AA" wp14:editId="065C3D30">
          <wp:simplePos x="0" y="0"/>
          <wp:positionH relativeFrom="margin">
            <wp:align>center</wp:align>
          </wp:positionH>
          <wp:positionV relativeFrom="margin">
            <wp:align>center</wp:align>
          </wp:positionV>
          <wp:extent cx="7559040" cy="10692130"/>
          <wp:effectExtent l="0" t="0" r="3810" b="13970"/>
          <wp:wrapNone/>
          <wp:docPr id="3"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154DF" w14:textId="77777777" w:rsidR="00BC5737" w:rsidRDefault="003C1454">
    <w:pPr>
      <w:pStyle w:val="a6"/>
    </w:pPr>
    <w:r>
      <w:rPr>
        <w:noProof/>
      </w:rPr>
      <w:drawing>
        <wp:anchor distT="0" distB="0" distL="114300" distR="114300" simplePos="0" relativeHeight="251659264" behindDoc="1" locked="0" layoutInCell="0" allowOverlap="1" wp14:anchorId="1BA3FC3C" wp14:editId="7D103A32">
          <wp:simplePos x="0" y="0"/>
          <wp:positionH relativeFrom="margin">
            <wp:align>center</wp:align>
          </wp:positionH>
          <wp:positionV relativeFrom="margin">
            <wp:align>center</wp:align>
          </wp:positionV>
          <wp:extent cx="7559040" cy="10692130"/>
          <wp:effectExtent l="0" t="0" r="3810" b="13970"/>
          <wp:wrapNone/>
          <wp:docPr id="1"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Q4MDAzNjNiM2EwYjNjY2VkN2I2ZWY4OTg5YTA1ZWYifQ=="/>
  </w:docVars>
  <w:rsids>
    <w:rsidRoot w:val="00082C74"/>
    <w:rsid w:val="0000285A"/>
    <w:rsid w:val="00043364"/>
    <w:rsid w:val="00043EA5"/>
    <w:rsid w:val="000576E9"/>
    <w:rsid w:val="00062142"/>
    <w:rsid w:val="00082C74"/>
    <w:rsid w:val="000F1437"/>
    <w:rsid w:val="000F2B72"/>
    <w:rsid w:val="000F51AB"/>
    <w:rsid w:val="00127205"/>
    <w:rsid w:val="00144C6A"/>
    <w:rsid w:val="00161734"/>
    <w:rsid w:val="001F07A4"/>
    <w:rsid w:val="001F5A28"/>
    <w:rsid w:val="002050C6"/>
    <w:rsid w:val="0021331C"/>
    <w:rsid w:val="002448CC"/>
    <w:rsid w:val="0024604B"/>
    <w:rsid w:val="002562CC"/>
    <w:rsid w:val="0027152C"/>
    <w:rsid w:val="002D1F1C"/>
    <w:rsid w:val="00303F01"/>
    <w:rsid w:val="00303F1D"/>
    <w:rsid w:val="003225AE"/>
    <w:rsid w:val="00376191"/>
    <w:rsid w:val="003975DD"/>
    <w:rsid w:val="003C1454"/>
    <w:rsid w:val="003C796A"/>
    <w:rsid w:val="003E7976"/>
    <w:rsid w:val="00432AA7"/>
    <w:rsid w:val="004703F3"/>
    <w:rsid w:val="00494C23"/>
    <w:rsid w:val="00495634"/>
    <w:rsid w:val="004C65EB"/>
    <w:rsid w:val="004C7FBE"/>
    <w:rsid w:val="004D3DF7"/>
    <w:rsid w:val="004E09E4"/>
    <w:rsid w:val="004F03D6"/>
    <w:rsid w:val="00532AA5"/>
    <w:rsid w:val="00547EA4"/>
    <w:rsid w:val="005570CF"/>
    <w:rsid w:val="0066395D"/>
    <w:rsid w:val="00690D05"/>
    <w:rsid w:val="006A41C9"/>
    <w:rsid w:val="006B1FE9"/>
    <w:rsid w:val="006C71F1"/>
    <w:rsid w:val="007320D8"/>
    <w:rsid w:val="00756F5D"/>
    <w:rsid w:val="007D07FC"/>
    <w:rsid w:val="007F5678"/>
    <w:rsid w:val="008047E1"/>
    <w:rsid w:val="00814067"/>
    <w:rsid w:val="0082577E"/>
    <w:rsid w:val="008264DE"/>
    <w:rsid w:val="00856179"/>
    <w:rsid w:val="008B0BD4"/>
    <w:rsid w:val="008D4935"/>
    <w:rsid w:val="008D666C"/>
    <w:rsid w:val="008E44A2"/>
    <w:rsid w:val="008F1D1A"/>
    <w:rsid w:val="008F7F84"/>
    <w:rsid w:val="0091469A"/>
    <w:rsid w:val="009E07F6"/>
    <w:rsid w:val="00A00FE0"/>
    <w:rsid w:val="00A24A54"/>
    <w:rsid w:val="00A344A1"/>
    <w:rsid w:val="00A4776A"/>
    <w:rsid w:val="00A805AA"/>
    <w:rsid w:val="00AB4096"/>
    <w:rsid w:val="00AB498F"/>
    <w:rsid w:val="00AF1AA1"/>
    <w:rsid w:val="00B44308"/>
    <w:rsid w:val="00BA64A0"/>
    <w:rsid w:val="00BC5737"/>
    <w:rsid w:val="00BE7D4C"/>
    <w:rsid w:val="00CC0F8D"/>
    <w:rsid w:val="00CC3391"/>
    <w:rsid w:val="00CD4982"/>
    <w:rsid w:val="00CF6C77"/>
    <w:rsid w:val="00D001AA"/>
    <w:rsid w:val="00D44ECB"/>
    <w:rsid w:val="00DA523A"/>
    <w:rsid w:val="00DB2420"/>
    <w:rsid w:val="00E10BCF"/>
    <w:rsid w:val="00E401A5"/>
    <w:rsid w:val="00E669F9"/>
    <w:rsid w:val="00E71137"/>
    <w:rsid w:val="00F40987"/>
    <w:rsid w:val="00F46DA3"/>
    <w:rsid w:val="00FC5C66"/>
    <w:rsid w:val="01832591"/>
    <w:rsid w:val="093208FE"/>
    <w:rsid w:val="0B0225D9"/>
    <w:rsid w:val="0BC41804"/>
    <w:rsid w:val="10AE6DBE"/>
    <w:rsid w:val="141B4B0A"/>
    <w:rsid w:val="14B42A93"/>
    <w:rsid w:val="15E20BAE"/>
    <w:rsid w:val="17286D0C"/>
    <w:rsid w:val="179764FD"/>
    <w:rsid w:val="17BE4DAF"/>
    <w:rsid w:val="1A4D7493"/>
    <w:rsid w:val="1AD55213"/>
    <w:rsid w:val="1C6F0104"/>
    <w:rsid w:val="1E731769"/>
    <w:rsid w:val="24A94139"/>
    <w:rsid w:val="24D35EFE"/>
    <w:rsid w:val="27C56BA3"/>
    <w:rsid w:val="2A8668B4"/>
    <w:rsid w:val="2BD90527"/>
    <w:rsid w:val="2DA73BC9"/>
    <w:rsid w:val="2F4260D0"/>
    <w:rsid w:val="30333103"/>
    <w:rsid w:val="35644951"/>
    <w:rsid w:val="36C10BB7"/>
    <w:rsid w:val="3A896735"/>
    <w:rsid w:val="3DFB283E"/>
    <w:rsid w:val="41BE5866"/>
    <w:rsid w:val="428E2D6F"/>
    <w:rsid w:val="43071F86"/>
    <w:rsid w:val="452669A6"/>
    <w:rsid w:val="4CBC5798"/>
    <w:rsid w:val="4D1A7B0D"/>
    <w:rsid w:val="4E520210"/>
    <w:rsid w:val="4FDE1EEA"/>
    <w:rsid w:val="54F25B03"/>
    <w:rsid w:val="55701CD9"/>
    <w:rsid w:val="5CA23B87"/>
    <w:rsid w:val="61BD594B"/>
    <w:rsid w:val="65B926B0"/>
    <w:rsid w:val="66F64CB2"/>
    <w:rsid w:val="67D0597C"/>
    <w:rsid w:val="68867589"/>
    <w:rsid w:val="6AC01691"/>
    <w:rsid w:val="6C1D7DFE"/>
    <w:rsid w:val="6DC538B9"/>
    <w:rsid w:val="70C0732B"/>
    <w:rsid w:val="74E51BC9"/>
    <w:rsid w:val="75BB0D44"/>
    <w:rsid w:val="78EE574A"/>
    <w:rsid w:val="798C7F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C46164"/>
  <w15:docId w15:val="{125F2240-0254-477D-9045-BB5795C28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8">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页脚 字符"/>
    <w:link w:val="a4"/>
    <w:uiPriority w:val="99"/>
    <w:qFormat/>
    <w:rPr>
      <w:sz w:val="18"/>
      <w:szCs w:val="18"/>
    </w:rPr>
  </w:style>
  <w:style w:type="character" w:customStyle="1" w:styleId="a7">
    <w:name w:val="页眉 字符"/>
    <w:link w:val="a6"/>
    <w:uiPriority w:val="99"/>
    <w:semiHidden/>
    <w:qFormat/>
    <w:rPr>
      <w:sz w:val="18"/>
      <w:szCs w:val="18"/>
    </w:rPr>
  </w:style>
  <w:style w:type="character" w:customStyle="1" w:styleId="HTML0">
    <w:name w:val="HTML 预设格式 字符"/>
    <w:link w:val="HTML"/>
    <w:uiPriority w:val="99"/>
    <w:qFormat/>
    <w:rPr>
      <w:rFonts w:ascii="宋体" w:hAnsi="宋体" w:cs="宋体"/>
      <w:sz w:val="24"/>
      <w:szCs w:val="24"/>
    </w:rPr>
  </w:style>
  <w:style w:type="table" w:customStyle="1" w:styleId="1">
    <w:name w:val="网格型1"/>
    <w:basedOn w:val="a1"/>
    <w:uiPriority w:val="59"/>
    <w:qFormat/>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01">
    <w:name w:val="fontstyle01"/>
    <w:qFormat/>
    <w:rPr>
      <w:rFonts w:ascii="宋体" w:eastAsia="宋体" w:hAnsi="宋体" w:hint="eastAsia"/>
      <w:color w:val="000000"/>
      <w:sz w:val="24"/>
      <w:szCs w:val="24"/>
    </w:rPr>
  </w:style>
  <w:style w:type="paragraph" w:customStyle="1" w:styleId="10">
    <w:name w:val="修订1"/>
    <w:hidden/>
    <w:uiPriority w:val="99"/>
    <w:unhideWhenUse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2</Pages>
  <Words>1250</Words>
  <Characters>346</Characters>
  <Application>Microsoft Office Word</Application>
  <DocSecurity>0</DocSecurity>
  <Lines>2</Lines>
  <Paragraphs>3</Paragraphs>
  <ScaleCrop>false</ScaleCrop>
  <Company>company</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证券代码:300436      证券简称：广生堂     公告编号：20170</dc:title>
  <dc:creator>王琴</dc:creator>
  <cp:lastModifiedBy>广生堂 广</cp:lastModifiedBy>
  <cp:revision>6</cp:revision>
  <cp:lastPrinted>2025-03-17T09:27:00Z</cp:lastPrinted>
  <dcterms:created xsi:type="dcterms:W3CDTF">2025-04-24T04:08:00Z</dcterms:created>
  <dcterms:modified xsi:type="dcterms:W3CDTF">2025-04-24T08:06:00Z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ICV">
    <vt:lpwstr>AA7FC7C7664E468FBD22A6CC66A61750</vt:lpwstr>
  </property>
  <property fmtid="{D5CDD505-2E9C-101B-9397-08002B2CF9AE}" pid="4" name="KSOTemplateDocerSaveRecord">
    <vt:lpwstr>eyJoZGlkIjoiY2Q4MDAzNjNiM2EwYjNjY2VkN2I2ZWY4OTg5YTA1ZWYiLCJ1c2VySWQiOiIxMzk5OTUwMzQxIn0=</vt:lpwstr>
  </property>
</Properties>
</file>