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872986">
      <w:pPr>
        <w:spacing w:line="360" w:lineRule="auto"/>
        <w:rPr>
          <w:rFonts w:hint="default" w:ascii="宋体" w:hAnsi="宋体" w:eastAsia="宋体" w:cs="宋体"/>
          <w:kern w:val="0"/>
          <w:sz w:val="24"/>
          <w:szCs w:val="24"/>
          <w:lang w:val="en-US" w:eastAsia="zh-CN"/>
        </w:rPr>
      </w:pPr>
      <w:bookmarkStart w:id="0" w:name="_GoBack"/>
      <w:bookmarkEnd w:id="0"/>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047</w:t>
      </w:r>
    </w:p>
    <w:p w14:paraId="735099E5">
      <w:pPr>
        <w:spacing w:before="156" w:beforeLines="50"/>
        <w:jc w:val="center"/>
        <w:rPr>
          <w:rFonts w:ascii="宋体" w:hAnsi="宋体" w:cs="宋体"/>
          <w:b/>
          <w:kern w:val="0"/>
          <w:sz w:val="32"/>
          <w:szCs w:val="32"/>
        </w:rPr>
      </w:pPr>
      <w:r>
        <w:rPr>
          <w:rFonts w:hint="eastAsia" w:ascii="宋体" w:hAnsi="宋体" w:cs="宋体"/>
          <w:b/>
          <w:kern w:val="0"/>
          <w:sz w:val="32"/>
          <w:szCs w:val="32"/>
        </w:rPr>
        <w:t>福建广生堂药业股份有限公司</w:t>
      </w:r>
    </w:p>
    <w:p w14:paraId="53D3832A">
      <w:pPr>
        <w:jc w:val="center"/>
        <w:rPr>
          <w:rFonts w:hint="eastAsia" w:ascii="宋体" w:hAnsi="宋体" w:cs="宋体"/>
          <w:b/>
          <w:sz w:val="32"/>
          <w:szCs w:val="32"/>
        </w:rPr>
      </w:pPr>
      <w:r>
        <w:rPr>
          <w:rFonts w:hint="eastAsia" w:ascii="宋体" w:hAnsi="宋体" w:cs="宋体"/>
          <w:b/>
          <w:sz w:val="32"/>
          <w:szCs w:val="32"/>
        </w:rPr>
        <w:t>关于向特定对象发行股票申请获得深圳证券交易所</w:t>
      </w:r>
    </w:p>
    <w:p w14:paraId="762CEA70">
      <w:pPr>
        <w:jc w:val="center"/>
        <w:rPr>
          <w:rFonts w:ascii="宋体" w:hAnsi="宋体" w:cs="宋体"/>
          <w:b/>
          <w:sz w:val="32"/>
          <w:szCs w:val="32"/>
        </w:rPr>
      </w:pPr>
      <w:r>
        <w:rPr>
          <w:rFonts w:hint="eastAsia" w:ascii="宋体" w:hAnsi="宋体" w:cs="宋体"/>
          <w:b/>
          <w:sz w:val="32"/>
          <w:szCs w:val="32"/>
        </w:rPr>
        <w:t>受理的公告</w:t>
      </w:r>
    </w:p>
    <w:p w14:paraId="342ABB75">
      <w:pPr>
        <w:jc w:val="center"/>
        <w:rPr>
          <w:rFonts w:ascii="宋体" w:hAnsi="宋体" w:cs="宋体"/>
          <w:b/>
          <w:sz w:val="24"/>
          <w:szCs w:val="24"/>
        </w:rPr>
      </w:pPr>
    </w:p>
    <w:tbl>
      <w:tblPr>
        <w:tblStyle w:val="9"/>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7AADD84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66663937">
            <w:pPr>
              <w:widowControl/>
              <w:ind w:firstLine="600" w:firstLineChars="200"/>
              <w:rPr>
                <w:rFonts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7A4F322C">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rFonts w:hint="eastAsia" w:ascii="宋体" w:hAnsi="宋体" w:cs="宋体"/>
          <w:sz w:val="24"/>
          <w:szCs w:val="24"/>
        </w:rPr>
      </w:pPr>
      <w:r>
        <w:rPr>
          <w:rFonts w:hint="eastAsia" w:ascii="宋体" w:hAnsi="宋体" w:cs="宋体"/>
          <w:sz w:val="24"/>
          <w:szCs w:val="24"/>
        </w:rPr>
        <w:t>福建广生堂药业股份有限公司（以下简称“公司”）于2025年</w:t>
      </w:r>
      <w:r>
        <w:rPr>
          <w:rFonts w:hint="eastAsia" w:ascii="宋体" w:hAnsi="宋体" w:cs="宋体"/>
          <w:sz w:val="24"/>
          <w:szCs w:val="24"/>
          <w:lang w:val="en-US" w:eastAsia="zh-CN"/>
        </w:rPr>
        <w:t>5</w:t>
      </w:r>
      <w:r>
        <w:rPr>
          <w:rFonts w:hint="eastAsia" w:ascii="宋体" w:hAnsi="宋体" w:cs="宋体"/>
          <w:sz w:val="24"/>
          <w:szCs w:val="24"/>
        </w:rPr>
        <w:t>月</w:t>
      </w:r>
      <w:r>
        <w:rPr>
          <w:rFonts w:hint="eastAsia" w:ascii="宋体" w:hAnsi="宋体" w:cs="宋体"/>
          <w:sz w:val="24"/>
          <w:szCs w:val="24"/>
          <w:lang w:val="en-US" w:eastAsia="zh-CN"/>
        </w:rPr>
        <w:t>23</w:t>
      </w:r>
      <w:r>
        <w:rPr>
          <w:rFonts w:hint="eastAsia" w:ascii="宋体" w:hAnsi="宋体" w:cs="宋体"/>
          <w:sz w:val="24"/>
          <w:szCs w:val="24"/>
        </w:rPr>
        <w:t>日收到深圳证券交易所（以下</w:t>
      </w:r>
      <w:r>
        <w:rPr>
          <w:rFonts w:hint="eastAsia" w:ascii="宋体" w:hAnsi="宋体" w:cs="宋体"/>
          <w:sz w:val="24"/>
          <w:szCs w:val="24"/>
          <w:lang w:eastAsia="zh-CN"/>
        </w:rPr>
        <w:t>简称</w:t>
      </w:r>
      <w:r>
        <w:rPr>
          <w:rFonts w:hint="eastAsia" w:ascii="宋体" w:hAnsi="宋体" w:cs="宋体"/>
          <w:sz w:val="24"/>
          <w:szCs w:val="24"/>
        </w:rPr>
        <w:t>“深交所”）出具的《关于受理福建广生堂药业股份有限公司向特定对象发行股票申请文件的通知》（深证上审〔2025〕68号）。深交所对公司报送的向特定对象发行股票的申请文件进行了核对，认为申请文件齐备，决定予以受理。</w:t>
      </w:r>
    </w:p>
    <w:p w14:paraId="5C04BF75">
      <w:pPr>
        <w:adjustRightInd w:val="0"/>
        <w:snapToGrid w:val="0"/>
        <w:spacing w:before="156" w:beforeLines="50" w:line="360" w:lineRule="auto"/>
        <w:ind w:firstLine="480" w:firstLineChars="200"/>
        <w:rPr>
          <w:rFonts w:hint="eastAsia" w:ascii="宋体" w:hAnsi="宋体" w:cs="宋体"/>
          <w:sz w:val="24"/>
          <w:szCs w:val="24"/>
        </w:rPr>
      </w:pPr>
      <w:r>
        <w:rPr>
          <w:rFonts w:hint="eastAsia" w:ascii="宋体" w:hAnsi="宋体" w:cs="宋体"/>
          <w:sz w:val="24"/>
          <w:szCs w:val="24"/>
        </w:rPr>
        <w:t>公司本次向特定对象发行股票事项尚需通过深交所审核，并获得中国证券监督管理委员会（以下</w:t>
      </w:r>
      <w:r>
        <w:rPr>
          <w:rFonts w:hint="eastAsia" w:ascii="宋体" w:hAnsi="宋体" w:cs="宋体"/>
          <w:sz w:val="24"/>
          <w:szCs w:val="24"/>
          <w:lang w:eastAsia="zh-CN"/>
        </w:rPr>
        <w:t>简称</w:t>
      </w:r>
      <w:r>
        <w:rPr>
          <w:rFonts w:hint="eastAsia" w:ascii="宋体" w:hAnsi="宋体" w:cs="宋体"/>
          <w:sz w:val="24"/>
          <w:szCs w:val="24"/>
        </w:rPr>
        <w:t>“中国证监会”）同意注册后方可实施，最终能否通过深交所审核并获得中国证监会作出同意注册的决定及其时间尚存在不确定性。公司将根据该事项进展情况及时履行信息披露义务，敬请广大投资者谨慎决策，注意投资风险。</w:t>
      </w:r>
    </w:p>
    <w:p w14:paraId="54E24F59">
      <w:pPr>
        <w:pStyle w:val="8"/>
        <w:spacing w:before="312" w:beforeLines="100" w:beforeAutospacing="0" w:after="312" w:afterLines="100" w:afterAutospacing="0" w:line="360" w:lineRule="auto"/>
        <w:ind w:firstLine="480" w:firstLineChars="200"/>
        <w:rPr>
          <w:kern w:val="2"/>
          <w:szCs w:val="21"/>
        </w:rPr>
      </w:pPr>
      <w:r>
        <w:rPr>
          <w:rFonts w:hint="eastAsia"/>
        </w:rPr>
        <w:t>特此公告。</w:t>
      </w:r>
    </w:p>
    <w:p w14:paraId="66F2098C">
      <w:pPr>
        <w:widowControl/>
        <w:adjustRightInd w:val="0"/>
        <w:snapToGrid w:val="0"/>
        <w:spacing w:line="360" w:lineRule="auto"/>
        <w:ind w:firstLine="480" w:firstLineChars="200"/>
        <w:jc w:val="right"/>
        <w:rPr>
          <w:rFonts w:hint="eastAsia" w:ascii="宋体" w:hAnsi="宋体" w:cs="宋体"/>
          <w:sz w:val="24"/>
          <w:szCs w:val="21"/>
        </w:rPr>
      </w:pPr>
    </w:p>
    <w:p w14:paraId="0BD2C86E">
      <w:pPr>
        <w:widowControl/>
        <w:adjustRightInd w:val="0"/>
        <w:snapToGrid w:val="0"/>
        <w:spacing w:line="360" w:lineRule="auto"/>
        <w:ind w:firstLine="480" w:firstLineChars="200"/>
        <w:jc w:val="right"/>
        <w:rPr>
          <w:rFonts w:hint="eastAsia" w:ascii="宋体" w:hAnsi="宋体" w:cs="宋体"/>
          <w:sz w:val="24"/>
          <w:szCs w:val="21"/>
        </w:rPr>
      </w:pPr>
    </w:p>
    <w:p w14:paraId="10121054">
      <w:pPr>
        <w:widowControl/>
        <w:adjustRightInd w:val="0"/>
        <w:snapToGrid w:val="0"/>
        <w:spacing w:line="360" w:lineRule="auto"/>
        <w:ind w:firstLine="480" w:firstLineChars="200"/>
        <w:jc w:val="right"/>
        <w:rPr>
          <w:rFonts w:ascii="宋体" w:hAnsi="宋体" w:cs="宋体"/>
          <w:sz w:val="24"/>
          <w:szCs w:val="21"/>
        </w:rPr>
      </w:pPr>
      <w:r>
        <w:rPr>
          <w:rFonts w:hint="eastAsia" w:ascii="宋体" w:hAnsi="宋体" w:cs="宋体"/>
          <w:sz w:val="24"/>
          <w:szCs w:val="21"/>
        </w:rPr>
        <w:t>福建广生堂药业股份有限公司董事会</w:t>
      </w:r>
    </w:p>
    <w:p w14:paraId="20092083">
      <w:pPr>
        <w:widowControl/>
        <w:adjustRightInd w:val="0"/>
        <w:snapToGrid w:val="0"/>
        <w:spacing w:line="360" w:lineRule="auto"/>
        <w:ind w:firstLine="5520" w:firstLineChars="2300"/>
        <w:jc w:val="left"/>
        <w:rPr>
          <w:rFonts w:ascii="宋体" w:hAnsi="宋体" w:cs="宋体"/>
          <w:sz w:val="24"/>
          <w:szCs w:val="24"/>
        </w:rPr>
      </w:pPr>
      <w:r>
        <w:rPr>
          <w:rFonts w:hint="eastAsia" w:ascii="宋体" w:hAnsi="宋体" w:cs="宋体"/>
          <w:sz w:val="24"/>
          <w:szCs w:val="21"/>
        </w:rPr>
        <w:t>2025年</w:t>
      </w:r>
      <w:r>
        <w:rPr>
          <w:rFonts w:hint="eastAsia" w:ascii="宋体" w:hAnsi="宋体" w:cs="宋体"/>
          <w:sz w:val="24"/>
          <w:szCs w:val="21"/>
          <w:lang w:val="en-US" w:eastAsia="zh-CN"/>
        </w:rPr>
        <w:t>5</w:t>
      </w:r>
      <w:r>
        <w:rPr>
          <w:rFonts w:hint="eastAsia" w:ascii="宋体" w:hAnsi="宋体" w:cs="宋体"/>
          <w:sz w:val="24"/>
          <w:szCs w:val="21"/>
        </w:rPr>
        <w:t>月</w:t>
      </w:r>
      <w:r>
        <w:rPr>
          <w:rFonts w:hint="eastAsia" w:ascii="宋体" w:hAnsi="宋体" w:cs="宋体"/>
          <w:sz w:val="24"/>
          <w:szCs w:val="21"/>
          <w:lang w:val="en-US" w:eastAsia="zh-CN"/>
        </w:rPr>
        <w:t>23</w:t>
      </w:r>
      <w:r>
        <w:rPr>
          <w:rFonts w:hint="eastAsia" w:ascii="宋体" w:hAnsi="宋体" w:cs="宋体"/>
          <w:sz w:val="24"/>
          <w:szCs w:val="21"/>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6B711">
    <w:pPr>
      <w:pStyle w:val="5"/>
      <w:jc w:val="center"/>
      <w:rPr>
        <w:rFonts w:hint="eastAsia"/>
      </w:rP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CADA6">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9B1AF">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60BD7">
    <w:pPr>
      <w:pStyle w:val="6"/>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7FF38">
    <w:pPr>
      <w:pStyle w:val="6"/>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C6C69">
    <w:pPr>
      <w:pStyle w:val="6"/>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614228545803579392"/>
  </w:docVars>
  <w:rsids>
    <w:rsidRoot w:val="00082C74"/>
    <w:rsid w:val="00043EA5"/>
    <w:rsid w:val="00062142"/>
    <w:rsid w:val="00082C74"/>
    <w:rsid w:val="000F1437"/>
    <w:rsid w:val="000F2B72"/>
    <w:rsid w:val="000F51AB"/>
    <w:rsid w:val="00144C6A"/>
    <w:rsid w:val="00161734"/>
    <w:rsid w:val="001F5A28"/>
    <w:rsid w:val="0021331C"/>
    <w:rsid w:val="002448CC"/>
    <w:rsid w:val="0024604B"/>
    <w:rsid w:val="002562CC"/>
    <w:rsid w:val="002D1F1C"/>
    <w:rsid w:val="00303F01"/>
    <w:rsid w:val="00303F1D"/>
    <w:rsid w:val="003225AE"/>
    <w:rsid w:val="00376191"/>
    <w:rsid w:val="003975DD"/>
    <w:rsid w:val="003C796A"/>
    <w:rsid w:val="003E7976"/>
    <w:rsid w:val="00432AA7"/>
    <w:rsid w:val="00472B98"/>
    <w:rsid w:val="00494C23"/>
    <w:rsid w:val="004C65EB"/>
    <w:rsid w:val="004C7FBE"/>
    <w:rsid w:val="004D3DF7"/>
    <w:rsid w:val="004F03D6"/>
    <w:rsid w:val="00532AA5"/>
    <w:rsid w:val="00547EA4"/>
    <w:rsid w:val="0066395D"/>
    <w:rsid w:val="00690D05"/>
    <w:rsid w:val="006B1FE9"/>
    <w:rsid w:val="006C71F1"/>
    <w:rsid w:val="007320D8"/>
    <w:rsid w:val="007568F4"/>
    <w:rsid w:val="00756F5D"/>
    <w:rsid w:val="00791B37"/>
    <w:rsid w:val="007D07FC"/>
    <w:rsid w:val="007F5678"/>
    <w:rsid w:val="008D4935"/>
    <w:rsid w:val="008D666C"/>
    <w:rsid w:val="008E44A2"/>
    <w:rsid w:val="008F7F84"/>
    <w:rsid w:val="009E07F6"/>
    <w:rsid w:val="00A00FE0"/>
    <w:rsid w:val="00A344A1"/>
    <w:rsid w:val="00A805AA"/>
    <w:rsid w:val="00AB4096"/>
    <w:rsid w:val="00AF1AA1"/>
    <w:rsid w:val="00BE7D4C"/>
    <w:rsid w:val="00CC0F8D"/>
    <w:rsid w:val="00CC3391"/>
    <w:rsid w:val="00CD4982"/>
    <w:rsid w:val="00D001AA"/>
    <w:rsid w:val="00D44ECB"/>
    <w:rsid w:val="00DA523A"/>
    <w:rsid w:val="00DB2420"/>
    <w:rsid w:val="00E10BCF"/>
    <w:rsid w:val="00E71137"/>
    <w:rsid w:val="00F40987"/>
    <w:rsid w:val="00F46DA3"/>
    <w:rsid w:val="00FC5C66"/>
    <w:rsid w:val="01832591"/>
    <w:rsid w:val="05E624CB"/>
    <w:rsid w:val="08B74923"/>
    <w:rsid w:val="093208FE"/>
    <w:rsid w:val="0B0225D9"/>
    <w:rsid w:val="0BC41804"/>
    <w:rsid w:val="106D4074"/>
    <w:rsid w:val="10AE6DBE"/>
    <w:rsid w:val="141B4B0A"/>
    <w:rsid w:val="14B42A93"/>
    <w:rsid w:val="15E20BAE"/>
    <w:rsid w:val="17286D0C"/>
    <w:rsid w:val="179764FD"/>
    <w:rsid w:val="17BE4DAF"/>
    <w:rsid w:val="1A4D7493"/>
    <w:rsid w:val="1AD55213"/>
    <w:rsid w:val="1E731769"/>
    <w:rsid w:val="21160150"/>
    <w:rsid w:val="24A94139"/>
    <w:rsid w:val="24D35EFE"/>
    <w:rsid w:val="27C56BA3"/>
    <w:rsid w:val="28606A83"/>
    <w:rsid w:val="29961AB0"/>
    <w:rsid w:val="2A8668B4"/>
    <w:rsid w:val="2BD90527"/>
    <w:rsid w:val="2DA73BC9"/>
    <w:rsid w:val="2F4260D0"/>
    <w:rsid w:val="30333103"/>
    <w:rsid w:val="32070D49"/>
    <w:rsid w:val="35644951"/>
    <w:rsid w:val="36C10BB7"/>
    <w:rsid w:val="387302A9"/>
    <w:rsid w:val="3A896735"/>
    <w:rsid w:val="3DFB283E"/>
    <w:rsid w:val="41BE5866"/>
    <w:rsid w:val="428E2D6F"/>
    <w:rsid w:val="43071F86"/>
    <w:rsid w:val="452669A6"/>
    <w:rsid w:val="46A81416"/>
    <w:rsid w:val="4CBC5798"/>
    <w:rsid w:val="4D1A7B0D"/>
    <w:rsid w:val="4E520210"/>
    <w:rsid w:val="4E787F99"/>
    <w:rsid w:val="4FDE1EEA"/>
    <w:rsid w:val="54F25B03"/>
    <w:rsid w:val="55701CD9"/>
    <w:rsid w:val="5C007127"/>
    <w:rsid w:val="5CA23B87"/>
    <w:rsid w:val="61371BA7"/>
    <w:rsid w:val="61BD594B"/>
    <w:rsid w:val="65B926B0"/>
    <w:rsid w:val="65DE2654"/>
    <w:rsid w:val="66F64CB2"/>
    <w:rsid w:val="67D0597C"/>
    <w:rsid w:val="68867589"/>
    <w:rsid w:val="6AC01691"/>
    <w:rsid w:val="6C1D7DFE"/>
    <w:rsid w:val="6CDD11E8"/>
    <w:rsid w:val="6DC538B9"/>
    <w:rsid w:val="70C0732B"/>
    <w:rsid w:val="74E51BC9"/>
    <w:rsid w:val="75BB0D44"/>
    <w:rsid w:val="78EE574A"/>
    <w:rsid w:val="798C7FDD"/>
    <w:rsid w:val="7D83588D"/>
    <w:rsid w:val="7D975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3"/>
    <w:qFormat/>
    <w:uiPriority w:val="9"/>
    <w:pPr>
      <w:keepNext/>
      <w:keepLines/>
      <w:spacing w:beforeLines="50" w:afterLines="50" w:line="360" w:lineRule="auto"/>
      <w:outlineLvl w:val="0"/>
    </w:pPr>
    <w:rPr>
      <w:b/>
      <w:kern w:val="44"/>
      <w:sz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Normal Indent"/>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脚 字符"/>
    <w:link w:val="5"/>
    <w:qFormat/>
    <w:uiPriority w:val="99"/>
    <w:rPr>
      <w:sz w:val="18"/>
      <w:szCs w:val="18"/>
    </w:rPr>
  </w:style>
  <w:style w:type="character" w:customStyle="1" w:styleId="13">
    <w:name w:val="页眉 字符"/>
    <w:link w:val="6"/>
    <w:semiHidden/>
    <w:qFormat/>
    <w:uiPriority w:val="99"/>
    <w:rPr>
      <w:sz w:val="18"/>
      <w:szCs w:val="18"/>
    </w:rPr>
  </w:style>
  <w:style w:type="character" w:customStyle="1" w:styleId="14">
    <w:name w:val="HTML 预设格式 字符"/>
    <w:link w:val="7"/>
    <w:qFormat/>
    <w:uiPriority w:val="99"/>
    <w:rPr>
      <w:rFonts w:ascii="宋体" w:hAnsi="宋体" w:cs="宋体"/>
      <w:sz w:val="24"/>
      <w:szCs w:val="24"/>
    </w:rPr>
  </w:style>
  <w:style w:type="table" w:customStyle="1" w:styleId="15">
    <w:name w:val="网格型1"/>
    <w:basedOn w:val="9"/>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fontstyle01"/>
    <w:qFormat/>
    <w:uiPriority w:val="0"/>
    <w:rPr>
      <w:rFonts w:hint="eastAsia" w:ascii="宋体" w:hAnsi="宋体" w:eastAsia="宋体"/>
      <w:color w:val="000000"/>
      <w:sz w:val="24"/>
      <w:szCs w:val="24"/>
    </w:rPr>
  </w:style>
  <w:style w:type="paragraph" w:customStyle="1" w:styleId="17">
    <w:name w:val="修订1"/>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company</Company>
  <Pages>1</Pages>
  <Words>421</Words>
  <Characters>444</Characters>
  <Lines>8</Lines>
  <Paragraphs>2</Paragraphs>
  <TotalTime>0</TotalTime>
  <ScaleCrop>false</ScaleCrop>
  <LinksUpToDate>false</LinksUpToDate>
  <CharactersWithSpaces>458</CharactersWithSpaces>
  <Application>WPS Office_12.1.0.21170_F1E327BC-269C-435d-A152-05C5408002CA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2014-02-19T09:25:00Z</dcterms:created>
  <dc:creator>王琴</dc:creator>
  <cp:lastModifiedBy>cdq</cp:lastModifiedBy>
  <cp:lastPrinted>2025-03-17T09:27:00Z</cp:lastPrinted>
  <dcterms:modified xsi:type="dcterms:W3CDTF">2025-05-23T12:12:46Z</dcterms:modified>
  <dc:title>证券代码:300436      证券简称：广生堂     公告编号：20170</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2052-12.1.0.21170</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