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1A161">
      <w:pPr>
        <w:spacing w:line="360" w:lineRule="auto"/>
        <w:rPr>
          <w:rFonts w:hint="eastAsia" w:ascii="宋体" w:hAnsi="宋体" w:cs="宋体"/>
          <w:kern w:val="0"/>
          <w:sz w:val="24"/>
          <w:szCs w:val="24"/>
        </w:rPr>
      </w:pPr>
      <w:r>
        <w:rPr>
          <w:rFonts w:hint="eastAsia" w:ascii="宋体" w:hAnsi="宋体" w:cs="宋体"/>
          <w:kern w:val="0"/>
          <w:sz w:val="24"/>
          <w:szCs w:val="24"/>
        </w:rPr>
        <w:t>证券代码：300436        证券简称：广生堂      公告编号：2025049</w:t>
      </w:r>
    </w:p>
    <w:p w14:paraId="1688BFA3">
      <w:pPr>
        <w:spacing w:before="156" w:beforeLines="50"/>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p>
    <w:p w14:paraId="172C88F1">
      <w:pPr>
        <w:jc w:val="center"/>
        <w:rPr>
          <w:rFonts w:hint="eastAsia" w:ascii="宋体" w:hAnsi="宋体" w:cs="宋体"/>
          <w:b/>
          <w:sz w:val="32"/>
          <w:szCs w:val="32"/>
        </w:rPr>
      </w:pPr>
      <w:r>
        <w:rPr>
          <w:rFonts w:hint="eastAsia" w:ascii="宋体" w:hAnsi="宋体" w:cs="宋体"/>
          <w:b/>
          <w:sz w:val="32"/>
          <w:szCs w:val="32"/>
        </w:rPr>
        <w:t>关于股票交易异常波动的公告</w:t>
      </w:r>
    </w:p>
    <w:p w14:paraId="228E3CED">
      <w:pPr>
        <w:jc w:val="center"/>
        <w:rPr>
          <w:rFonts w:hint="eastAsia" w:ascii="宋体" w:hAnsi="宋体" w:cs="宋体"/>
          <w:b/>
          <w:sz w:val="24"/>
          <w:szCs w:val="24"/>
        </w:rPr>
      </w:pPr>
    </w:p>
    <w:tbl>
      <w:tblPr>
        <w:tblStyle w:val="10"/>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0D2000B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45C40C7D">
            <w:pPr>
              <w:widowControl/>
              <w:ind w:firstLine="600" w:firstLineChars="200"/>
              <w:rPr>
                <w:rFonts w:hint="eastAsia"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1FC71B48">
      <w:pPr>
        <w:adjustRightInd w:val="0"/>
        <w:snapToGrid w:val="0"/>
        <w:spacing w:line="360" w:lineRule="auto"/>
        <w:ind w:firstLine="482"/>
        <w:rPr>
          <w:rFonts w:hint="eastAsia" w:ascii="宋体" w:hAnsi="宋体" w:cs="宋体"/>
          <w:sz w:val="24"/>
          <w:szCs w:val="24"/>
        </w:rPr>
      </w:pPr>
    </w:p>
    <w:p w14:paraId="346E6D9A">
      <w:pPr>
        <w:pStyle w:val="2"/>
        <w:spacing w:before="156" w:after="156"/>
        <w:rPr>
          <w:rFonts w:hint="eastAsia" w:ascii="宋体" w:hAnsi="宋体" w:cs="宋体"/>
        </w:rPr>
      </w:pPr>
      <w:r>
        <w:rPr>
          <w:rFonts w:hint="eastAsia" w:ascii="宋体" w:hAnsi="宋体" w:cs="宋体"/>
        </w:rPr>
        <w:t>一、股票交易异常波动的具体情况</w:t>
      </w:r>
    </w:p>
    <w:p w14:paraId="0B6F7BA0">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福建广生堂药业股份有限公司（以下简称“公司”）股票自2025年7月2日至7月4日连续三个交易日收盘价格涨幅偏离值累计超过 30%。根据《深圳证券交易所交易规则》规定，属于股票交易异常波动的情况。</w:t>
      </w:r>
    </w:p>
    <w:p w14:paraId="4EE651F6">
      <w:pPr>
        <w:pStyle w:val="2"/>
        <w:spacing w:before="156" w:after="156"/>
      </w:pPr>
      <w:r>
        <w:rPr>
          <w:rFonts w:hint="eastAsia"/>
        </w:rPr>
        <w:t>二、</w:t>
      </w:r>
      <w:bookmarkStart w:id="0" w:name="OLE_LINK5"/>
      <w:r>
        <w:rPr>
          <w:rFonts w:hint="eastAsia"/>
        </w:rPr>
        <w:t>说明关注、核实情况</w:t>
      </w:r>
      <w:bookmarkEnd w:id="0"/>
    </w:p>
    <w:p w14:paraId="74E323FB">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针对公司股票交易异常波动，公司董事会已向公司、控股股东及实际控制人等就相关问题进行了核实，现将相关情况说明如下：</w:t>
      </w:r>
    </w:p>
    <w:p w14:paraId="48E83750">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1、公司前期披露的信息不存在需要更正、补充之处。</w:t>
      </w:r>
    </w:p>
    <w:p w14:paraId="0F9EDDE5">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2、公司关注到，公司乙肝治疗创新药GST-HG131被国家药品监督管理局药品审评中心拟纳入突破性治疗品种名单并公示，公示期7日。除前述信息外，公司未发现近期公共传媒报道了可能或已经对本公司股票交易价格产生较大影响的未公开重大信息。</w:t>
      </w:r>
    </w:p>
    <w:p w14:paraId="5CB347E5">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3、近期公司经营情况及内外部经营环境未发生重大变化。</w:t>
      </w:r>
    </w:p>
    <w:p w14:paraId="64DA14C0">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4、公司及控股股东、实际控制人不存在应披露而未披露的重大事项，也不存在除已披露事项外处于筹划阶段的重大事项。</w:t>
      </w:r>
    </w:p>
    <w:p w14:paraId="1D5AED8F">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5、股票异常波动期间，公司控股股东、实际控制人及其一致行动人不存在买卖公司股票的情形。</w:t>
      </w:r>
    </w:p>
    <w:p w14:paraId="0109C20E">
      <w:pPr>
        <w:pStyle w:val="2"/>
        <w:spacing w:before="156" w:after="156"/>
      </w:pPr>
      <w:bookmarkStart w:id="1" w:name="_GoBack"/>
      <w:bookmarkEnd w:id="1"/>
      <w:r>
        <w:rPr>
          <w:rFonts w:hint="eastAsia"/>
        </w:rPr>
        <w:t>三、是否存在应披露而未披露信息的说明</w:t>
      </w:r>
    </w:p>
    <w:p w14:paraId="6E664E5A">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rPr>
        <w:t>本公司董事会确认，除前述事项（指第二部分“说明关注、核实情况”涉及事项）外，本公司目前没有任何根据《深圳证券交易所创业板股票上市规则》等有关规定应予以披露而未披露的事项或与该事项有关的筹划、商谈、意向、协议等；董事会也未获悉本公司有根据《深圳证券交易所创业板股票上市规则》等有关规定应予以披露而未披露的、对本公司股票及衍生品种交易价格产生较大影响的信息；公司前期披露的信息不存在需要更正、补充之处。</w:t>
      </w:r>
    </w:p>
    <w:p w14:paraId="65D8C689">
      <w:pPr>
        <w:pStyle w:val="2"/>
        <w:spacing w:before="156" w:after="156"/>
        <w:rPr>
          <w:rFonts w:hint="eastAsia" w:ascii="宋体" w:hAnsi="宋体" w:cs="宋体"/>
        </w:rPr>
      </w:pPr>
      <w:r>
        <w:rPr>
          <w:rFonts w:hint="eastAsia" w:ascii="宋体" w:hAnsi="宋体" w:cs="宋体"/>
        </w:rPr>
        <w:t>四、公司认为必要的风险提示</w:t>
      </w:r>
    </w:p>
    <w:p w14:paraId="798E070B">
      <w:pPr>
        <w:adjustRightInd w:val="0"/>
        <w:snapToGrid w:val="0"/>
        <w:spacing w:line="360" w:lineRule="auto"/>
        <w:ind w:firstLine="482"/>
        <w:rPr>
          <w:rFonts w:hint="eastAsia" w:ascii="宋体" w:hAnsi="宋体" w:eastAsia="宋体" w:cs="宋体"/>
          <w:sz w:val="24"/>
          <w:szCs w:val="24"/>
          <w:lang w:val="en-US" w:eastAsia="zh-CN"/>
        </w:rPr>
      </w:pPr>
      <w:r>
        <w:rPr>
          <w:rFonts w:hint="eastAsia" w:ascii="宋体" w:hAnsi="宋体" w:cs="宋体"/>
          <w:sz w:val="24"/>
          <w:szCs w:val="24"/>
          <w:lang w:val="en-US" w:eastAsia="zh-CN"/>
        </w:rPr>
        <w:t>1、经自查，公司不存在违反信息公平披露的情形。</w:t>
      </w:r>
    </w:p>
    <w:p w14:paraId="18C48F41">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、公司最近三年及一期经营业绩连续亏损。公司2022年至2025年第一季度归属于上市公司股东的净利润分别为-12,740.39万元、-34,858.98万元、</w:t>
      </w:r>
      <w:r>
        <w:rPr>
          <w:rFonts w:ascii="宋体" w:hAnsi="宋体" w:cs="宋体"/>
          <w:sz w:val="24"/>
          <w:szCs w:val="24"/>
        </w:rPr>
        <w:t>-15</w:t>
      </w:r>
      <w:r>
        <w:rPr>
          <w:rFonts w:hint="eastAsia" w:ascii="宋体" w:hAnsi="宋体" w:cs="宋体"/>
          <w:sz w:val="24"/>
          <w:szCs w:val="24"/>
        </w:rPr>
        <w:t>,</w:t>
      </w:r>
      <w:r>
        <w:rPr>
          <w:rFonts w:ascii="宋体" w:hAnsi="宋体" w:cs="宋体"/>
          <w:sz w:val="24"/>
          <w:szCs w:val="24"/>
        </w:rPr>
        <w:t>630</w:t>
      </w:r>
      <w:r>
        <w:rPr>
          <w:rFonts w:hint="eastAsia" w:ascii="宋体" w:hAnsi="宋体" w:cs="宋体"/>
          <w:sz w:val="24"/>
          <w:szCs w:val="24"/>
        </w:rPr>
        <w:t>.44万元，-2,848.89万元。敬请广大投资者注意投资风险。</w:t>
      </w:r>
    </w:p>
    <w:p w14:paraId="1F062A54">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公司乙肝治疗创新药GST-HG131拟纳入突破性治疗品种尚处于公示期，存在突破性治疗药物程序公示期满后不通过的风险。创新药研发周期长，投入大，风险高，容易受到多方面因素的影响，临床研究存在结果不及预期甚至失败的风险，后续能否获得批准上市存在不确定性。敬请广大投资者谨慎决策，注意防范投资风险。</w:t>
      </w:r>
    </w:p>
    <w:p w14:paraId="09EB0BCD">
      <w:pPr>
        <w:adjustRightInd w:val="0"/>
        <w:snapToGrid w:val="0"/>
        <w:spacing w:line="360" w:lineRule="auto"/>
        <w:ind w:firstLine="482"/>
        <w:rPr>
          <w:rFonts w:hint="eastAsia"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公司指定的信息披露媒体为《证券时报》、《证券日报》、《中国证券报》、《上海证券报》和巨潮资讯网（http://www.cninfo.com.cn），有关公司的信息均以在上述指定媒体刊登的信息为准，敬请广大投资者理性投资，注意风险。</w:t>
      </w:r>
    </w:p>
    <w:p w14:paraId="193075D1">
      <w:pPr>
        <w:pStyle w:val="9"/>
        <w:spacing w:before="156" w:beforeLines="50" w:beforeAutospacing="0" w:after="156" w:afterLines="50" w:afterAutospacing="0" w:line="360" w:lineRule="auto"/>
        <w:ind w:firstLine="480" w:firstLineChars="200"/>
        <w:rPr>
          <w:rFonts w:hint="eastAsia"/>
          <w:kern w:val="2"/>
          <w:szCs w:val="21"/>
        </w:rPr>
      </w:pPr>
      <w:r>
        <w:rPr>
          <w:rFonts w:hint="eastAsia"/>
        </w:rPr>
        <w:t>特此公告。</w:t>
      </w:r>
    </w:p>
    <w:p w14:paraId="4EB0EC9C">
      <w:pPr>
        <w:widowControl/>
        <w:adjustRightInd w:val="0"/>
        <w:snapToGrid w:val="0"/>
        <w:spacing w:line="360" w:lineRule="auto"/>
        <w:ind w:firstLine="480" w:firstLineChars="200"/>
        <w:jc w:val="right"/>
        <w:rPr>
          <w:rFonts w:hint="eastAsia" w:ascii="宋体" w:hAnsi="宋体" w:cs="宋体"/>
          <w:sz w:val="24"/>
          <w:szCs w:val="21"/>
        </w:rPr>
      </w:pPr>
    </w:p>
    <w:p w14:paraId="5391B2AD">
      <w:pPr>
        <w:widowControl/>
        <w:adjustRightInd w:val="0"/>
        <w:snapToGrid w:val="0"/>
        <w:spacing w:line="360" w:lineRule="auto"/>
        <w:ind w:firstLine="480" w:firstLineChars="200"/>
        <w:jc w:val="right"/>
        <w:rPr>
          <w:rFonts w:hint="eastAsia" w:ascii="宋体" w:hAnsi="宋体" w:cs="宋体"/>
          <w:sz w:val="24"/>
          <w:szCs w:val="21"/>
        </w:rPr>
      </w:pPr>
    </w:p>
    <w:p w14:paraId="73248B32">
      <w:pPr>
        <w:widowControl/>
        <w:adjustRightInd w:val="0"/>
        <w:snapToGrid w:val="0"/>
        <w:spacing w:line="360" w:lineRule="auto"/>
        <w:ind w:firstLine="480" w:firstLineChars="200"/>
        <w:jc w:val="right"/>
        <w:rPr>
          <w:rFonts w:hint="eastAsia" w:ascii="宋体" w:hAnsi="宋体" w:cs="宋体"/>
          <w:sz w:val="24"/>
          <w:szCs w:val="21"/>
        </w:rPr>
      </w:pPr>
      <w:r>
        <w:rPr>
          <w:rFonts w:hint="eastAsia" w:ascii="宋体" w:hAnsi="宋体" w:cs="宋体"/>
          <w:sz w:val="24"/>
          <w:szCs w:val="21"/>
        </w:rPr>
        <w:t>福建广生堂药业股份有限公司董事会</w:t>
      </w:r>
    </w:p>
    <w:p w14:paraId="5BFCE6D0">
      <w:pPr>
        <w:widowControl/>
        <w:adjustRightInd w:val="0"/>
        <w:snapToGrid w:val="0"/>
        <w:spacing w:line="360" w:lineRule="auto"/>
        <w:ind w:firstLine="5520" w:firstLineChars="2300"/>
        <w:jc w:val="left"/>
        <w:rPr>
          <w:rFonts w:hint="eastAsia" w:ascii="宋体" w:hAnsi="宋体" w:cs="宋体"/>
          <w:sz w:val="24"/>
          <w:szCs w:val="24"/>
        </w:rPr>
      </w:pPr>
      <w:r>
        <w:rPr>
          <w:rFonts w:hint="eastAsia" w:ascii="宋体" w:hAnsi="宋体" w:cs="宋体"/>
          <w:sz w:val="24"/>
          <w:szCs w:val="21"/>
        </w:rPr>
        <w:t>2025年7月4日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1ECFB">
    <w:pPr>
      <w:pStyle w:val="6"/>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868E3">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568F2">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182EF">
    <w:pPr>
      <w:pStyle w:val="7"/>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0E958">
    <w:pPr>
      <w:pStyle w:val="7"/>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B91A0">
    <w:pPr>
      <w:pStyle w:val="7"/>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29386074233737216"/>
  </w:docVars>
  <w:rsids>
    <w:rsidRoot w:val="00082C74"/>
    <w:rsid w:val="00043EA5"/>
    <w:rsid w:val="00062142"/>
    <w:rsid w:val="00082C74"/>
    <w:rsid w:val="000C5D8D"/>
    <w:rsid w:val="000F1437"/>
    <w:rsid w:val="000F2B72"/>
    <w:rsid w:val="000F51AB"/>
    <w:rsid w:val="00144C6A"/>
    <w:rsid w:val="00161734"/>
    <w:rsid w:val="001F5A28"/>
    <w:rsid w:val="002078A5"/>
    <w:rsid w:val="0021331C"/>
    <w:rsid w:val="002448CC"/>
    <w:rsid w:val="0024604B"/>
    <w:rsid w:val="002562CC"/>
    <w:rsid w:val="002D1F1C"/>
    <w:rsid w:val="00303F01"/>
    <w:rsid w:val="00303F1D"/>
    <w:rsid w:val="003225AE"/>
    <w:rsid w:val="00376191"/>
    <w:rsid w:val="003975DD"/>
    <w:rsid w:val="003C796A"/>
    <w:rsid w:val="003E73EA"/>
    <w:rsid w:val="003E7976"/>
    <w:rsid w:val="00432AA7"/>
    <w:rsid w:val="00472B98"/>
    <w:rsid w:val="00494C23"/>
    <w:rsid w:val="004C65EB"/>
    <w:rsid w:val="004C7FBE"/>
    <w:rsid w:val="004D3DF7"/>
    <w:rsid w:val="004F03D6"/>
    <w:rsid w:val="00532AA5"/>
    <w:rsid w:val="00547EA4"/>
    <w:rsid w:val="00571DF5"/>
    <w:rsid w:val="0066395D"/>
    <w:rsid w:val="00690D05"/>
    <w:rsid w:val="006B1FE9"/>
    <w:rsid w:val="006C71F1"/>
    <w:rsid w:val="007320D8"/>
    <w:rsid w:val="007568F4"/>
    <w:rsid w:val="00756F5D"/>
    <w:rsid w:val="00791B37"/>
    <w:rsid w:val="007D07FC"/>
    <w:rsid w:val="007F5678"/>
    <w:rsid w:val="00861A88"/>
    <w:rsid w:val="008B4798"/>
    <w:rsid w:val="008D4935"/>
    <w:rsid w:val="008D666C"/>
    <w:rsid w:val="008E44A2"/>
    <w:rsid w:val="008F7D88"/>
    <w:rsid w:val="008F7F84"/>
    <w:rsid w:val="00910D93"/>
    <w:rsid w:val="009E07F6"/>
    <w:rsid w:val="00A00FE0"/>
    <w:rsid w:val="00A32C8B"/>
    <w:rsid w:val="00A344A1"/>
    <w:rsid w:val="00A805AA"/>
    <w:rsid w:val="00AB4096"/>
    <w:rsid w:val="00AC637B"/>
    <w:rsid w:val="00AF1AA1"/>
    <w:rsid w:val="00B467C7"/>
    <w:rsid w:val="00BE7D4C"/>
    <w:rsid w:val="00C36431"/>
    <w:rsid w:val="00CB14CA"/>
    <w:rsid w:val="00CC0F8D"/>
    <w:rsid w:val="00CC3391"/>
    <w:rsid w:val="00CD4982"/>
    <w:rsid w:val="00D001AA"/>
    <w:rsid w:val="00D44ECB"/>
    <w:rsid w:val="00DA523A"/>
    <w:rsid w:val="00DB2420"/>
    <w:rsid w:val="00E10BCF"/>
    <w:rsid w:val="00E71137"/>
    <w:rsid w:val="00F40987"/>
    <w:rsid w:val="00F46DA3"/>
    <w:rsid w:val="00FB5D5B"/>
    <w:rsid w:val="00FB6B56"/>
    <w:rsid w:val="00FC5C66"/>
    <w:rsid w:val="01832591"/>
    <w:rsid w:val="0410290D"/>
    <w:rsid w:val="060A4E28"/>
    <w:rsid w:val="08B74923"/>
    <w:rsid w:val="093208FE"/>
    <w:rsid w:val="0B0225D9"/>
    <w:rsid w:val="0BC41804"/>
    <w:rsid w:val="106D4074"/>
    <w:rsid w:val="10AE6DBE"/>
    <w:rsid w:val="141B4B0A"/>
    <w:rsid w:val="14B42A93"/>
    <w:rsid w:val="15E20BAE"/>
    <w:rsid w:val="17286D0C"/>
    <w:rsid w:val="179764FD"/>
    <w:rsid w:val="17995CB5"/>
    <w:rsid w:val="17BE4DAF"/>
    <w:rsid w:val="1A4D7493"/>
    <w:rsid w:val="1AD55213"/>
    <w:rsid w:val="1BCB2D28"/>
    <w:rsid w:val="1CB735C0"/>
    <w:rsid w:val="1E731769"/>
    <w:rsid w:val="21160150"/>
    <w:rsid w:val="24A94139"/>
    <w:rsid w:val="24D35EFE"/>
    <w:rsid w:val="27800A53"/>
    <w:rsid w:val="27C56BA3"/>
    <w:rsid w:val="280D1D37"/>
    <w:rsid w:val="29961AB0"/>
    <w:rsid w:val="2A8668B4"/>
    <w:rsid w:val="2BD90527"/>
    <w:rsid w:val="2DA73BC9"/>
    <w:rsid w:val="2E954DE4"/>
    <w:rsid w:val="2F4260D0"/>
    <w:rsid w:val="30333103"/>
    <w:rsid w:val="32070D49"/>
    <w:rsid w:val="35644951"/>
    <w:rsid w:val="36C10BB7"/>
    <w:rsid w:val="3A896735"/>
    <w:rsid w:val="3BA819AA"/>
    <w:rsid w:val="3DFB283E"/>
    <w:rsid w:val="41BE5866"/>
    <w:rsid w:val="428E2D6F"/>
    <w:rsid w:val="43071F86"/>
    <w:rsid w:val="452669A6"/>
    <w:rsid w:val="46A81416"/>
    <w:rsid w:val="4CBC5798"/>
    <w:rsid w:val="4D1A7B0D"/>
    <w:rsid w:val="4D9549A9"/>
    <w:rsid w:val="4E520210"/>
    <w:rsid w:val="4E787F99"/>
    <w:rsid w:val="4EA67471"/>
    <w:rsid w:val="4ED072DF"/>
    <w:rsid w:val="4FDE1EEA"/>
    <w:rsid w:val="5335321D"/>
    <w:rsid w:val="53CA4C80"/>
    <w:rsid w:val="54613836"/>
    <w:rsid w:val="54F25B03"/>
    <w:rsid w:val="55701CD9"/>
    <w:rsid w:val="56DB07AC"/>
    <w:rsid w:val="5CA23B87"/>
    <w:rsid w:val="61371BA7"/>
    <w:rsid w:val="61A46B11"/>
    <w:rsid w:val="61BD594B"/>
    <w:rsid w:val="65B926B0"/>
    <w:rsid w:val="66F64CB2"/>
    <w:rsid w:val="67D0597C"/>
    <w:rsid w:val="68867589"/>
    <w:rsid w:val="6AC01691"/>
    <w:rsid w:val="6B7B2FD8"/>
    <w:rsid w:val="6C1D7DFE"/>
    <w:rsid w:val="6DC538B9"/>
    <w:rsid w:val="6F897E18"/>
    <w:rsid w:val="70B25A9A"/>
    <w:rsid w:val="70C0732B"/>
    <w:rsid w:val="71A32C3D"/>
    <w:rsid w:val="74E51BC9"/>
    <w:rsid w:val="756B0879"/>
    <w:rsid w:val="75BB0D44"/>
    <w:rsid w:val="788039DC"/>
    <w:rsid w:val="78EE574A"/>
    <w:rsid w:val="798C7FDD"/>
    <w:rsid w:val="7D975515"/>
    <w:rsid w:val="7F060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paragraph" w:styleId="4">
    <w:name w:val="heading 3"/>
    <w:basedOn w:val="1"/>
    <w:next w:val="1"/>
    <w:qFormat/>
    <w:uiPriority w:val="9"/>
    <w:pPr>
      <w:keepNext/>
      <w:keepLines/>
      <w:spacing w:before="260" w:after="260"/>
      <w:outlineLvl w:val="2"/>
    </w:pPr>
    <w:rPr>
      <w:b/>
      <w:kern w:val="0"/>
      <w:sz w:val="24"/>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5">
    <w:name w:val="annotation text"/>
    <w:basedOn w:val="1"/>
    <w:semiHidden/>
    <w:unhideWhenUsed/>
    <w:qFormat/>
    <w:uiPriority w:val="99"/>
    <w:pPr>
      <w:jc w:val="left"/>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脚 字符"/>
    <w:link w:val="6"/>
    <w:qFormat/>
    <w:uiPriority w:val="99"/>
    <w:rPr>
      <w:sz w:val="18"/>
      <w:szCs w:val="18"/>
    </w:rPr>
  </w:style>
  <w:style w:type="character" w:customStyle="1" w:styleId="14">
    <w:name w:val="页眉 字符"/>
    <w:link w:val="7"/>
    <w:semiHidden/>
    <w:qFormat/>
    <w:uiPriority w:val="99"/>
    <w:rPr>
      <w:sz w:val="18"/>
      <w:szCs w:val="18"/>
    </w:rPr>
  </w:style>
  <w:style w:type="character" w:customStyle="1" w:styleId="15">
    <w:name w:val="HTML 预设格式 字符"/>
    <w:link w:val="8"/>
    <w:qFormat/>
    <w:uiPriority w:val="99"/>
    <w:rPr>
      <w:rFonts w:ascii="宋体" w:hAnsi="宋体" w:cs="宋体"/>
      <w:sz w:val="24"/>
      <w:szCs w:val="24"/>
    </w:rPr>
  </w:style>
  <w:style w:type="table" w:customStyle="1" w:styleId="16">
    <w:name w:val="网格型1"/>
    <w:basedOn w:val="10"/>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7">
    <w:name w:val="fontstyle01"/>
    <w:qFormat/>
    <w:uiPriority w:val="0"/>
    <w:rPr>
      <w:rFonts w:hint="eastAsia" w:ascii="宋体" w:hAnsi="宋体" w:eastAsia="宋体"/>
      <w:color w:val="000000"/>
      <w:sz w:val="24"/>
      <w:szCs w:val="24"/>
    </w:rPr>
  </w:style>
  <w:style w:type="paragraph" w:customStyle="1" w:styleId="18">
    <w:name w:val="修订1"/>
    <w:hidden/>
    <w:unhideWhenUsed/>
    <w:qFormat/>
    <w:uiPriority w:val="99"/>
    <w:rPr>
      <w:rFonts w:ascii="Calibri" w:hAnsi="Calibri" w:eastAsia="宋体" w:cs="Times New Roman"/>
      <w:kern w:val="2"/>
      <w:sz w:val="21"/>
      <w:szCs w:val="22"/>
      <w:lang w:val="en-US" w:eastAsia="zh-CN" w:bidi="ar-SA"/>
    </w:rPr>
  </w:style>
  <w:style w:type="paragraph" w:customStyle="1" w:styleId="19">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2</Pages>
  <Words>1109</Words>
  <Characters>1208</Characters>
  <Lines>8</Lines>
  <Paragraphs>2</Paragraphs>
  <TotalTime>43</TotalTime>
  <ScaleCrop>false</ScaleCrop>
  <LinksUpToDate>false</LinksUpToDate>
  <CharactersWithSpaces>1223</CharactersWithSpaces>
  <Application>WPS Office_12.1.0.21911_F1E327BC-269C-435d-A152-05C5408002CA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2025-07-04T10:03:51Z</dcterms:modified>
  <dc:title>证券代码:300436      证券简称：广生堂     公告编号：20170</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2052-12.1.0.21911</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