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EEAA5">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052</w:t>
      </w:r>
    </w:p>
    <w:p w14:paraId="11EC8F0A">
      <w:pPr>
        <w:spacing w:before="156" w:beforeLines="50"/>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p>
    <w:p w14:paraId="3B3836F8">
      <w:pPr>
        <w:jc w:val="center"/>
        <w:rPr>
          <w:rFonts w:hint="eastAsia" w:ascii="宋体" w:hAnsi="宋体" w:cs="宋体"/>
          <w:b/>
          <w:sz w:val="32"/>
          <w:szCs w:val="32"/>
        </w:rPr>
      </w:pPr>
      <w:r>
        <w:rPr>
          <w:rFonts w:hint="eastAsia" w:ascii="宋体" w:hAnsi="宋体" w:cs="宋体"/>
          <w:b/>
          <w:sz w:val="32"/>
          <w:szCs w:val="32"/>
        </w:rPr>
        <w:t>关于股票交易严重异常波动的公告</w:t>
      </w:r>
    </w:p>
    <w:p w14:paraId="76A194BE">
      <w:pPr>
        <w:jc w:val="center"/>
        <w:rPr>
          <w:rFonts w:hint="eastAsia" w:ascii="宋体" w:hAnsi="宋体" w:cs="宋体"/>
          <w:b/>
          <w:sz w:val="24"/>
          <w:szCs w:val="24"/>
        </w:rPr>
      </w:pPr>
    </w:p>
    <w:tbl>
      <w:tblPr>
        <w:tblStyle w:val="10"/>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7B3257E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2FD43642">
            <w:pPr>
              <w:widowControl/>
              <w:ind w:firstLine="600" w:firstLineChars="200"/>
              <w:rPr>
                <w:rFonts w:hint="eastAsia"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5563B952">
      <w:pPr>
        <w:adjustRightInd w:val="0"/>
        <w:snapToGrid w:val="0"/>
        <w:spacing w:line="360" w:lineRule="auto"/>
        <w:ind w:firstLine="482"/>
        <w:rPr>
          <w:rFonts w:hint="eastAsia" w:ascii="宋体" w:hAnsi="宋体" w:cs="宋体"/>
          <w:sz w:val="24"/>
          <w:szCs w:val="24"/>
        </w:rPr>
      </w:pPr>
    </w:p>
    <w:p w14:paraId="6DC96ECE">
      <w:pPr>
        <w:adjustRightInd w:val="0"/>
        <w:snapToGrid w:val="0"/>
        <w:spacing w:line="360" w:lineRule="auto"/>
        <w:ind w:firstLine="482"/>
        <w:rPr>
          <w:rFonts w:hint="eastAsia" w:ascii="宋体" w:hAnsi="宋体" w:cs="宋体"/>
          <w:b/>
          <w:bCs/>
          <w:sz w:val="24"/>
          <w:szCs w:val="24"/>
        </w:rPr>
      </w:pPr>
      <w:r>
        <w:rPr>
          <w:rFonts w:hint="eastAsia" w:ascii="宋体" w:hAnsi="宋体" w:cs="宋体"/>
          <w:b/>
          <w:bCs/>
          <w:sz w:val="24"/>
          <w:szCs w:val="24"/>
        </w:rPr>
        <w:t>特别提示：</w:t>
      </w:r>
    </w:p>
    <w:p w14:paraId="63ACC3E1">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福建广生堂药业股份有限公司（以下简称“公司”）股票自2025年7月3日至7月16日连续10个交易日收盘价格涨幅偏离值累计超过100%。根据《深圳证券交易所交易规则》规定，属于股票交易严重异常波动的情况。根据中证指数有限公司最新数据显示，截至2025年7月15日，公司的最新市净率为30.85；公司所属中上协行业分类“医药制造业（C27）”的最新市净率为2.92。公司市净率与同行业的情况有较大差异。公司股价短期内大幅上涨，但公司基本面未发生重大变化，可能存在股价大幅上涨后回落的风险，郑重提醒广大投资者注意公司股票二级市场交易风险，理性决策，谨慎投资。</w:t>
      </w:r>
    </w:p>
    <w:p w14:paraId="45A2E7D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2、公司最近三年及一期经营业绩连续亏损。公司2022年至2025年第一季度归属于上市公司股东的净利润分别为-12,740.39万元、-34,858.98万元、-15,630.44万元，-2,848.89万元。敬请广大投资者注意投资风险，谨慎决策。</w:t>
      </w:r>
    </w:p>
    <w:p w14:paraId="2337D63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公司于2025年7月11日披露了《关于乙肝治疗一类创新药GST-HG131纳入突破性治疗品种名单的公告》（公告编号：2025050）。乙肝治疗一类创新药GST-HG131被国家药品监督管理局药品审评中心（以下简称“药审中心”）纳入突破性治疗品种名单，并不代表能获批上市，</w:t>
      </w:r>
      <w:r>
        <w:rPr>
          <w:rFonts w:hint="eastAsia" w:ascii="宋体" w:hAnsi="宋体" w:cs="宋体"/>
          <w:sz w:val="24"/>
          <w:szCs w:val="24"/>
          <w:lang w:val="en-US" w:eastAsia="zh-CN"/>
        </w:rPr>
        <w:t>短期内</w:t>
      </w:r>
      <w:r>
        <w:rPr>
          <w:rFonts w:hint="eastAsia" w:ascii="宋体" w:hAnsi="宋体" w:cs="宋体"/>
          <w:sz w:val="24"/>
          <w:szCs w:val="24"/>
        </w:rPr>
        <w:t>也不会对公司业绩产生重大影响。创新药研发周期长，投入大，风险高，容易受到技术、审批、政策等多方面因素的影响，临床研究存在结果不及预期甚至临床研究失败的风险，后续能否获得批准存在不确定性。根据《药品注册管理办法》等法规的相关规定，新药注册一般需经过临床前基础工作、临床研究审批、生产审批等阶段，存在较大的不确定性，如果最终未能通过新药注册审批，致使研发失败，公司前期研发投入将无法回收。敬请广大投资者注意投资风险。</w:t>
      </w:r>
    </w:p>
    <w:p w14:paraId="3922FA82">
      <w:pPr>
        <w:pStyle w:val="2"/>
        <w:spacing w:before="156" w:after="156"/>
        <w:rPr>
          <w:rFonts w:hint="eastAsia" w:ascii="宋体" w:hAnsi="宋体" w:cs="宋体"/>
        </w:rPr>
      </w:pPr>
      <w:r>
        <w:rPr>
          <w:rFonts w:hint="eastAsia" w:ascii="宋体" w:hAnsi="宋体" w:cs="宋体"/>
        </w:rPr>
        <w:t>一、股票交易严重异常波动的具体情况</w:t>
      </w:r>
    </w:p>
    <w:p w14:paraId="0DF13036">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公司股票自2025年7月3日至7月16日连续10个交易日收盘价格涨幅偏离值累计超过100%。根据《深圳证券交易所交易规则》规定，属于股票交易严重异常波动的情况。</w:t>
      </w:r>
    </w:p>
    <w:p w14:paraId="78D33911">
      <w:pPr>
        <w:pStyle w:val="2"/>
        <w:spacing w:before="156" w:after="156"/>
      </w:pPr>
      <w:r>
        <w:rPr>
          <w:rFonts w:hint="eastAsia"/>
        </w:rPr>
        <w:t>二、</w:t>
      </w:r>
      <w:bookmarkStart w:id="0" w:name="OLE_LINK5"/>
      <w:r>
        <w:rPr>
          <w:rFonts w:hint="eastAsia"/>
        </w:rPr>
        <w:t>说明关注、核实情况</w:t>
      </w:r>
      <w:bookmarkEnd w:id="0"/>
    </w:p>
    <w:p w14:paraId="5A413CE2">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针对公司股票交易严重异常波动，公司董事会已向公司、控股股东及实际控制人等就相关问题进行了核实，现将相关情况说明如下：</w:t>
      </w:r>
    </w:p>
    <w:p w14:paraId="2BDDE839">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w:t>
      </w:r>
      <w:r>
        <w:rPr>
          <w:rFonts w:ascii="宋体" w:hAnsi="宋体" w:cs="宋体"/>
          <w:sz w:val="24"/>
          <w:szCs w:val="24"/>
        </w:rPr>
        <w:t>公司前期披露的信息不存在需要更正、补充之处。</w:t>
      </w:r>
    </w:p>
    <w:p w14:paraId="7B228BF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公司于2025年7月11日披露了《关于乙肝治疗一类创新药GST-HG131纳入突破性治疗品种名单的公告》（公告编号：2025050）。乙肝治疗一类创新药GST-HG131被药审中心纳入突破性治疗品种名单，并不代表能获批上市，</w:t>
      </w:r>
      <w:r>
        <w:rPr>
          <w:rFonts w:hint="eastAsia" w:ascii="宋体" w:hAnsi="宋体" w:cs="宋体"/>
          <w:sz w:val="24"/>
          <w:szCs w:val="24"/>
          <w:lang w:val="en-US" w:eastAsia="zh-CN"/>
        </w:rPr>
        <w:t>短期内</w:t>
      </w:r>
      <w:r>
        <w:rPr>
          <w:rFonts w:hint="eastAsia" w:ascii="宋体" w:hAnsi="宋体" w:cs="宋体"/>
          <w:sz w:val="24"/>
          <w:szCs w:val="24"/>
        </w:rPr>
        <w:t>也不会对公司</w:t>
      </w:r>
      <w:bookmarkStart w:id="2" w:name="_GoBack"/>
      <w:bookmarkEnd w:id="2"/>
      <w:r>
        <w:rPr>
          <w:rFonts w:hint="eastAsia" w:ascii="宋体" w:hAnsi="宋体" w:cs="宋体"/>
          <w:sz w:val="24"/>
          <w:szCs w:val="24"/>
        </w:rPr>
        <w:t>业绩产生重大影响。2025年7月15日，GST-HG141(奈瑞可韦)用于慢性乙型肝炎(CHB)抗病毒药物治疗应答不佳患者联合治疗(add-on)的III期临床试验在药物临床试验登记与信息公示平台登记公示。除前述信息外，公司未发现近期公共传媒报道了可能或已经对本公司股票交易价格产生较大影响的未公开重大信息。</w:t>
      </w:r>
    </w:p>
    <w:p w14:paraId="775FE0C9">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3、近期公司经营情况及内外部经营环境未发生重大变化。</w:t>
      </w:r>
    </w:p>
    <w:p w14:paraId="343F746F">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4、公司及控股股东、实际控制人不存在应披露而未披露的重大事项，也不存在除已披露事项外处于筹划阶段的重大事项。</w:t>
      </w:r>
    </w:p>
    <w:p w14:paraId="01629215">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5、股票严重异常波动期间，公司控股股东、实际控制人及其一致行动人不存在买卖公司股票的情形。</w:t>
      </w:r>
    </w:p>
    <w:p w14:paraId="3D8AD53E">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6、公司不存在导致股票交易严重异常波动的未披露事项。</w:t>
      </w:r>
    </w:p>
    <w:p w14:paraId="12238C69">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7、根据中证指数有限公司最新数据显示，截至2025年7月15日，公司的最新市净率为30.85；公司所属中上协行业分类“医药制造业（C27）”的最新市净率为2.92。公司市净率与同行业的情况有较大差异。敬请广大投资者理性投资。</w:t>
      </w:r>
    </w:p>
    <w:p w14:paraId="78CE51C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8、公司不存在重大风险事项。</w:t>
      </w:r>
    </w:p>
    <w:p w14:paraId="1E2399D5">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9、公司不存在其他可能导致股票交易严重异常波动的事项。</w:t>
      </w:r>
    </w:p>
    <w:p w14:paraId="56D13ABF">
      <w:pPr>
        <w:pStyle w:val="2"/>
        <w:spacing w:before="156" w:after="156"/>
      </w:pPr>
      <w:r>
        <w:rPr>
          <w:rFonts w:hint="eastAsia"/>
        </w:rPr>
        <w:t>三、是否存在应披露而未披露信息的说明</w:t>
      </w:r>
    </w:p>
    <w:p w14:paraId="33C79E55">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本公司董事会确认，除前述事项（指第二部分“说明关注、核实情况”涉及事项）外，本公司目前没有任何根据《深圳证券交易所创业板股票上市规则》等有关规定应予以披露而未披露的事项或与该事项有关的筹划、商谈、意向、协议等；董事会也未获悉本公司有根据《深圳证券交易所创业板股票上市规则》等有关规定应予以披露而未披露的、对本公司股票及衍生品种交易价格产生较大影响的信息；公司前期披露的信息不存在需要更正、补充之处。</w:t>
      </w:r>
    </w:p>
    <w:p w14:paraId="0C1200C4">
      <w:pPr>
        <w:pStyle w:val="2"/>
        <w:spacing w:before="156" w:after="156"/>
        <w:rPr>
          <w:rFonts w:hint="eastAsia" w:ascii="宋体" w:hAnsi="宋体" w:cs="宋体"/>
        </w:rPr>
      </w:pPr>
      <w:r>
        <w:rPr>
          <w:rFonts w:hint="eastAsia" w:ascii="宋体" w:hAnsi="宋体" w:cs="宋体"/>
        </w:rPr>
        <w:t>四、公司认为必要的风险提示</w:t>
      </w:r>
    </w:p>
    <w:p w14:paraId="29B42989">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1、经自查，公司不存在违反信息公平披露的情形。</w:t>
      </w:r>
    </w:p>
    <w:p w14:paraId="7FAA276F">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2、</w:t>
      </w:r>
      <w:bookmarkStart w:id="1" w:name="OLE_LINK1"/>
      <w:r>
        <w:rPr>
          <w:rFonts w:hint="eastAsia" w:ascii="宋体" w:hAnsi="宋体" w:cs="宋体"/>
          <w:sz w:val="24"/>
          <w:szCs w:val="24"/>
        </w:rPr>
        <w:t>公司最近三年及一期经营业绩连续亏损。公司2022年至2025年第一季度归属于上市公司股东的净利润分别为-12,740.39万元、-34,858.98万元、</w:t>
      </w:r>
      <w:r>
        <w:rPr>
          <w:rFonts w:ascii="宋体" w:hAnsi="宋体" w:cs="宋体"/>
          <w:sz w:val="24"/>
          <w:szCs w:val="24"/>
        </w:rPr>
        <w:t>-15</w:t>
      </w:r>
      <w:r>
        <w:rPr>
          <w:rFonts w:hint="eastAsia" w:ascii="宋体" w:hAnsi="宋体" w:cs="宋体"/>
          <w:sz w:val="24"/>
          <w:szCs w:val="24"/>
        </w:rPr>
        <w:t>,</w:t>
      </w:r>
      <w:r>
        <w:rPr>
          <w:rFonts w:ascii="宋体" w:hAnsi="宋体" w:cs="宋体"/>
          <w:sz w:val="24"/>
          <w:szCs w:val="24"/>
        </w:rPr>
        <w:t>630</w:t>
      </w:r>
      <w:r>
        <w:rPr>
          <w:rFonts w:hint="eastAsia" w:ascii="宋体" w:hAnsi="宋体" w:cs="宋体"/>
          <w:sz w:val="24"/>
          <w:szCs w:val="24"/>
        </w:rPr>
        <w:t>.44万元，-2,848.89万元。敬请广大投资者注意投资风险。</w:t>
      </w:r>
      <w:bookmarkEnd w:id="1"/>
    </w:p>
    <w:p w14:paraId="3DB7D625">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3、创新药研发周期长，投入大，风险高，容易受到多方面因素的影响，临床研究存在结果不及预期甚至失败的风险，后续能否获得批准上市存在不确定性，短期内对公司业绩不会产生重大影响。敬请广大投资者谨慎决策，注意防范投资风险。</w:t>
      </w:r>
    </w:p>
    <w:p w14:paraId="0241E80B">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4、公司指定的信息披露媒体为《证券时报》、《证券日报》、《中国证券报》、《上海证券报》和巨潮资讯网（http://www.cninfo.com.cn），有关公司的信息均以在上述指定媒体刊登的信息为准，敬请广大投资者理性投资，注意风险。</w:t>
      </w:r>
    </w:p>
    <w:p w14:paraId="356F9256">
      <w:pPr>
        <w:pStyle w:val="9"/>
        <w:spacing w:before="156" w:beforeLines="50" w:beforeAutospacing="0" w:after="156" w:afterLines="50" w:afterAutospacing="0" w:line="360" w:lineRule="auto"/>
        <w:ind w:firstLine="480" w:firstLineChars="200"/>
        <w:rPr>
          <w:rFonts w:hint="eastAsia"/>
          <w:kern w:val="2"/>
          <w:szCs w:val="21"/>
        </w:rPr>
      </w:pPr>
      <w:r>
        <w:rPr>
          <w:rFonts w:hint="eastAsia"/>
        </w:rPr>
        <w:t>特此公告。</w:t>
      </w:r>
    </w:p>
    <w:p w14:paraId="144DCAC2">
      <w:pPr>
        <w:widowControl/>
        <w:adjustRightInd w:val="0"/>
        <w:snapToGrid w:val="0"/>
        <w:spacing w:line="360" w:lineRule="auto"/>
        <w:ind w:firstLine="480" w:firstLineChars="200"/>
        <w:jc w:val="right"/>
        <w:rPr>
          <w:rFonts w:hint="eastAsia" w:ascii="宋体" w:hAnsi="宋体" w:cs="宋体"/>
          <w:sz w:val="24"/>
          <w:szCs w:val="21"/>
        </w:rPr>
      </w:pPr>
    </w:p>
    <w:p w14:paraId="076832F8">
      <w:pPr>
        <w:widowControl/>
        <w:adjustRightInd w:val="0"/>
        <w:snapToGrid w:val="0"/>
        <w:spacing w:line="360" w:lineRule="auto"/>
        <w:ind w:firstLine="480" w:firstLineChars="200"/>
        <w:jc w:val="right"/>
        <w:rPr>
          <w:rFonts w:hint="eastAsia" w:ascii="宋体" w:hAnsi="宋体" w:cs="宋体"/>
          <w:sz w:val="24"/>
          <w:szCs w:val="21"/>
        </w:rPr>
      </w:pPr>
    </w:p>
    <w:p w14:paraId="43781A4D">
      <w:pPr>
        <w:widowControl/>
        <w:adjustRightInd w:val="0"/>
        <w:snapToGrid w:val="0"/>
        <w:spacing w:line="360" w:lineRule="auto"/>
        <w:ind w:firstLine="480" w:firstLineChars="200"/>
        <w:jc w:val="right"/>
        <w:rPr>
          <w:rFonts w:hint="eastAsia" w:ascii="宋体" w:hAnsi="宋体" w:cs="宋体"/>
          <w:sz w:val="24"/>
          <w:szCs w:val="21"/>
        </w:rPr>
      </w:pPr>
      <w:r>
        <w:rPr>
          <w:rFonts w:hint="eastAsia" w:ascii="宋体" w:hAnsi="宋体" w:cs="宋体"/>
          <w:sz w:val="24"/>
          <w:szCs w:val="21"/>
        </w:rPr>
        <w:t>福建广生堂药业股份有限公司董事会</w:t>
      </w:r>
    </w:p>
    <w:p w14:paraId="7195DD60">
      <w:pPr>
        <w:widowControl/>
        <w:adjustRightInd w:val="0"/>
        <w:snapToGrid w:val="0"/>
        <w:spacing w:line="360" w:lineRule="auto"/>
        <w:ind w:firstLine="5520" w:firstLineChars="2300"/>
        <w:jc w:val="left"/>
        <w:rPr>
          <w:rFonts w:hint="eastAsia" w:ascii="宋体" w:hAnsi="宋体" w:cs="宋体"/>
          <w:sz w:val="24"/>
          <w:szCs w:val="24"/>
        </w:rPr>
      </w:pPr>
      <w:r>
        <w:rPr>
          <w:rFonts w:hint="eastAsia" w:ascii="宋体" w:hAnsi="宋体" w:cs="宋体"/>
          <w:sz w:val="24"/>
          <w:szCs w:val="21"/>
        </w:rPr>
        <w:t>2025年7月16日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BFE8A">
    <w:pPr>
      <w:pStyle w:val="6"/>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03690">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ECDD9">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18F8F">
    <w:pPr>
      <w:pStyle w:val="7"/>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84459">
    <w:pPr>
      <w:pStyle w:val="7"/>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319A3">
    <w:pPr>
      <w:pStyle w:val="7"/>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29386074233737216"/>
  </w:docVars>
  <w:rsids>
    <w:rsidRoot w:val="00082C74"/>
    <w:rsid w:val="00013D55"/>
    <w:rsid w:val="00043EA5"/>
    <w:rsid w:val="00062142"/>
    <w:rsid w:val="00082C74"/>
    <w:rsid w:val="000C5D8D"/>
    <w:rsid w:val="000F1437"/>
    <w:rsid w:val="000F2B72"/>
    <w:rsid w:val="000F51AB"/>
    <w:rsid w:val="00144C6A"/>
    <w:rsid w:val="00161734"/>
    <w:rsid w:val="001F5A28"/>
    <w:rsid w:val="002078A5"/>
    <w:rsid w:val="0021331C"/>
    <w:rsid w:val="002448CC"/>
    <w:rsid w:val="0024604B"/>
    <w:rsid w:val="002562CC"/>
    <w:rsid w:val="00270E17"/>
    <w:rsid w:val="002D1F1C"/>
    <w:rsid w:val="00303F01"/>
    <w:rsid w:val="00303F1D"/>
    <w:rsid w:val="003225AE"/>
    <w:rsid w:val="00376191"/>
    <w:rsid w:val="003975DD"/>
    <w:rsid w:val="003C796A"/>
    <w:rsid w:val="003E73EA"/>
    <w:rsid w:val="003E7976"/>
    <w:rsid w:val="00432AA7"/>
    <w:rsid w:val="004336B3"/>
    <w:rsid w:val="00447C72"/>
    <w:rsid w:val="00472B98"/>
    <w:rsid w:val="00494C23"/>
    <w:rsid w:val="004C65EB"/>
    <w:rsid w:val="004C7FBE"/>
    <w:rsid w:val="004D3DF7"/>
    <w:rsid w:val="004F03D6"/>
    <w:rsid w:val="00516821"/>
    <w:rsid w:val="00527983"/>
    <w:rsid w:val="00532AA5"/>
    <w:rsid w:val="00547EA4"/>
    <w:rsid w:val="00571DF5"/>
    <w:rsid w:val="0066395D"/>
    <w:rsid w:val="00690D05"/>
    <w:rsid w:val="006B1FE9"/>
    <w:rsid w:val="006C71F1"/>
    <w:rsid w:val="007320D8"/>
    <w:rsid w:val="007568F4"/>
    <w:rsid w:val="00756F5D"/>
    <w:rsid w:val="00791B37"/>
    <w:rsid w:val="007D07FC"/>
    <w:rsid w:val="007F5678"/>
    <w:rsid w:val="00861A88"/>
    <w:rsid w:val="008B4798"/>
    <w:rsid w:val="008D4935"/>
    <w:rsid w:val="008D666C"/>
    <w:rsid w:val="008E44A2"/>
    <w:rsid w:val="008F7D88"/>
    <w:rsid w:val="008F7F84"/>
    <w:rsid w:val="00910D93"/>
    <w:rsid w:val="009E07F6"/>
    <w:rsid w:val="00A00FE0"/>
    <w:rsid w:val="00A32C8B"/>
    <w:rsid w:val="00A344A1"/>
    <w:rsid w:val="00A805AA"/>
    <w:rsid w:val="00A86BD1"/>
    <w:rsid w:val="00AB4096"/>
    <w:rsid w:val="00AC637B"/>
    <w:rsid w:val="00AF1AA1"/>
    <w:rsid w:val="00B467C7"/>
    <w:rsid w:val="00BE7D4C"/>
    <w:rsid w:val="00C36431"/>
    <w:rsid w:val="00CB14CA"/>
    <w:rsid w:val="00CC0F8D"/>
    <w:rsid w:val="00CC3391"/>
    <w:rsid w:val="00CD4982"/>
    <w:rsid w:val="00D001AA"/>
    <w:rsid w:val="00D44ECB"/>
    <w:rsid w:val="00DA523A"/>
    <w:rsid w:val="00DB2420"/>
    <w:rsid w:val="00E10BCF"/>
    <w:rsid w:val="00E25F05"/>
    <w:rsid w:val="00E71137"/>
    <w:rsid w:val="00ED2A94"/>
    <w:rsid w:val="00F40987"/>
    <w:rsid w:val="00F46DA3"/>
    <w:rsid w:val="00FB5D5B"/>
    <w:rsid w:val="00FB6B56"/>
    <w:rsid w:val="00FC5C66"/>
    <w:rsid w:val="01832591"/>
    <w:rsid w:val="024A51DC"/>
    <w:rsid w:val="032C1DD5"/>
    <w:rsid w:val="0410290D"/>
    <w:rsid w:val="04C21B55"/>
    <w:rsid w:val="060A4E28"/>
    <w:rsid w:val="08B74923"/>
    <w:rsid w:val="093208FE"/>
    <w:rsid w:val="093323A4"/>
    <w:rsid w:val="09526420"/>
    <w:rsid w:val="0B0225D9"/>
    <w:rsid w:val="0BC41804"/>
    <w:rsid w:val="0CB24D02"/>
    <w:rsid w:val="106D4074"/>
    <w:rsid w:val="10AE6DBE"/>
    <w:rsid w:val="141B4B0A"/>
    <w:rsid w:val="14762D3D"/>
    <w:rsid w:val="14B42A93"/>
    <w:rsid w:val="15E20BAE"/>
    <w:rsid w:val="17286D0C"/>
    <w:rsid w:val="179764FD"/>
    <w:rsid w:val="17995CB5"/>
    <w:rsid w:val="17BE4DAF"/>
    <w:rsid w:val="187F5606"/>
    <w:rsid w:val="1A4D7493"/>
    <w:rsid w:val="1AD55213"/>
    <w:rsid w:val="1B8A054A"/>
    <w:rsid w:val="1BCB2D28"/>
    <w:rsid w:val="1CB735C0"/>
    <w:rsid w:val="1DE92804"/>
    <w:rsid w:val="1E731769"/>
    <w:rsid w:val="21160150"/>
    <w:rsid w:val="23161966"/>
    <w:rsid w:val="23932947"/>
    <w:rsid w:val="24A94139"/>
    <w:rsid w:val="24D35EFE"/>
    <w:rsid w:val="27800A53"/>
    <w:rsid w:val="27C56BA3"/>
    <w:rsid w:val="280D1D37"/>
    <w:rsid w:val="29961AB0"/>
    <w:rsid w:val="2A8668B4"/>
    <w:rsid w:val="2BD90527"/>
    <w:rsid w:val="2DA73BC9"/>
    <w:rsid w:val="2E954DE4"/>
    <w:rsid w:val="2EFE08B0"/>
    <w:rsid w:val="2F4260D0"/>
    <w:rsid w:val="30333103"/>
    <w:rsid w:val="32070D49"/>
    <w:rsid w:val="35644951"/>
    <w:rsid w:val="35A1531C"/>
    <w:rsid w:val="36C10BB7"/>
    <w:rsid w:val="3A896735"/>
    <w:rsid w:val="3BA819AA"/>
    <w:rsid w:val="3DFB283E"/>
    <w:rsid w:val="41BE5866"/>
    <w:rsid w:val="428E2D6F"/>
    <w:rsid w:val="43071F86"/>
    <w:rsid w:val="452669A6"/>
    <w:rsid w:val="46A81416"/>
    <w:rsid w:val="46B43DEC"/>
    <w:rsid w:val="46E13839"/>
    <w:rsid w:val="4CBC5798"/>
    <w:rsid w:val="4CEA7917"/>
    <w:rsid w:val="4D1A7B0D"/>
    <w:rsid w:val="4D9549A9"/>
    <w:rsid w:val="4E520210"/>
    <w:rsid w:val="4E787F99"/>
    <w:rsid w:val="4EA67471"/>
    <w:rsid w:val="4ED072DF"/>
    <w:rsid w:val="4FDE1EEA"/>
    <w:rsid w:val="5335321D"/>
    <w:rsid w:val="53CA4C80"/>
    <w:rsid w:val="54613836"/>
    <w:rsid w:val="54F25B03"/>
    <w:rsid w:val="55701CD9"/>
    <w:rsid w:val="56DB07AC"/>
    <w:rsid w:val="5CA23B87"/>
    <w:rsid w:val="61371BA7"/>
    <w:rsid w:val="61A46B11"/>
    <w:rsid w:val="61BD594B"/>
    <w:rsid w:val="65B926B0"/>
    <w:rsid w:val="66F64CB2"/>
    <w:rsid w:val="67D0597C"/>
    <w:rsid w:val="68867589"/>
    <w:rsid w:val="6964288A"/>
    <w:rsid w:val="6AC01691"/>
    <w:rsid w:val="6B7B2FD8"/>
    <w:rsid w:val="6C1D7DFE"/>
    <w:rsid w:val="6DC538B9"/>
    <w:rsid w:val="6F897E18"/>
    <w:rsid w:val="70B25A9A"/>
    <w:rsid w:val="70C0732B"/>
    <w:rsid w:val="71A32C3D"/>
    <w:rsid w:val="735B4F35"/>
    <w:rsid w:val="74E51BC9"/>
    <w:rsid w:val="756B0879"/>
    <w:rsid w:val="75BB0D44"/>
    <w:rsid w:val="788039DC"/>
    <w:rsid w:val="78AA3F11"/>
    <w:rsid w:val="78EE574A"/>
    <w:rsid w:val="798C7FDD"/>
    <w:rsid w:val="7D975515"/>
    <w:rsid w:val="7F060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paragraph" w:styleId="4">
    <w:name w:val="heading 3"/>
    <w:basedOn w:val="1"/>
    <w:next w:val="1"/>
    <w:qFormat/>
    <w:uiPriority w:val="9"/>
    <w:pPr>
      <w:keepNext/>
      <w:keepLines/>
      <w:spacing w:before="260" w:after="260"/>
      <w:outlineLvl w:val="2"/>
    </w:pPr>
    <w:rPr>
      <w:b/>
      <w:kern w:val="0"/>
      <w:sz w:val="24"/>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5">
    <w:name w:val="annotation text"/>
    <w:basedOn w:val="1"/>
    <w:semiHidden/>
    <w:unhideWhenUsed/>
    <w:qFormat/>
    <w:uiPriority w:val="99"/>
    <w:pPr>
      <w:jc w:val="left"/>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脚 字符"/>
    <w:link w:val="6"/>
    <w:qFormat/>
    <w:uiPriority w:val="99"/>
    <w:rPr>
      <w:sz w:val="18"/>
      <w:szCs w:val="18"/>
    </w:rPr>
  </w:style>
  <w:style w:type="character" w:customStyle="1" w:styleId="14">
    <w:name w:val="页眉 字符"/>
    <w:link w:val="7"/>
    <w:semiHidden/>
    <w:qFormat/>
    <w:uiPriority w:val="99"/>
    <w:rPr>
      <w:sz w:val="18"/>
      <w:szCs w:val="18"/>
    </w:rPr>
  </w:style>
  <w:style w:type="character" w:customStyle="1" w:styleId="15">
    <w:name w:val="HTML 预设格式 字符"/>
    <w:link w:val="8"/>
    <w:qFormat/>
    <w:uiPriority w:val="99"/>
    <w:rPr>
      <w:rFonts w:ascii="宋体" w:hAnsi="宋体" w:cs="宋体"/>
      <w:sz w:val="24"/>
      <w:szCs w:val="24"/>
    </w:rPr>
  </w:style>
  <w:style w:type="table" w:customStyle="1" w:styleId="16">
    <w:name w:val="网格型1"/>
    <w:basedOn w:val="10"/>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7">
    <w:name w:val="fontstyle01"/>
    <w:qFormat/>
    <w:uiPriority w:val="0"/>
    <w:rPr>
      <w:rFonts w:hint="eastAsia" w:ascii="宋体" w:hAnsi="宋体" w:eastAsia="宋体"/>
      <w:color w:val="000000"/>
      <w:sz w:val="24"/>
      <w:szCs w:val="24"/>
    </w:rPr>
  </w:style>
  <w:style w:type="paragraph" w:customStyle="1" w:styleId="18">
    <w:name w:val="修订1"/>
    <w:hidden/>
    <w:unhideWhenUsed/>
    <w:qFormat/>
    <w:uiPriority w:val="99"/>
    <w:rPr>
      <w:rFonts w:ascii="Calibri" w:hAnsi="Calibri" w:eastAsia="宋体" w:cs="Times New Roman"/>
      <w:kern w:val="2"/>
      <w:sz w:val="21"/>
      <w:szCs w:val="22"/>
      <w:lang w:val="en-US" w:eastAsia="zh-CN" w:bidi="ar-SA"/>
    </w:rPr>
  </w:style>
  <w:style w:type="paragraph" w:customStyle="1" w:styleId="19">
    <w:name w:val="修订2"/>
    <w:hidden/>
    <w:unhideWhenUsed/>
    <w:qFormat/>
    <w:uiPriority w:val="99"/>
    <w:rPr>
      <w:rFonts w:ascii="Calibri" w:hAnsi="Calibri" w:eastAsia="宋体" w:cs="Times New Roman"/>
      <w:kern w:val="2"/>
      <w:sz w:val="21"/>
      <w:szCs w:val="22"/>
      <w:lang w:val="en-US" w:eastAsia="zh-CN" w:bidi="ar-SA"/>
    </w:rPr>
  </w:style>
  <w:style w:type="paragraph" w:customStyle="1" w:styleId="20">
    <w:name w:val="Revision"/>
    <w:hidden/>
    <w:unhideWhenUsed/>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3</Pages>
  <Words>2029</Words>
  <Characters>2275</Characters>
  <Lines>16</Lines>
  <Paragraphs>4</Paragraphs>
  <TotalTime>40</TotalTime>
  <ScaleCrop>false</ScaleCrop>
  <LinksUpToDate>false</LinksUpToDate>
  <CharactersWithSpaces>2289</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2025-07-16T07:25:00Z</cp:lastPrinted>
  <dcterms:modified xsi:type="dcterms:W3CDTF">2025-07-16T09:51:53Z</dcterms:modified>
  <dc:title>证券代码:300436      证券简称：广生堂     公告编号：20170</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