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BB552">
      <w:pPr>
        <w:pStyle w:val="2"/>
        <w:keepNext w:val="0"/>
        <w:keepLines w:val="0"/>
        <w:spacing w:before="156" w:beforeLines="50" w:after="156" w:afterLines="50"/>
        <w:ind w:firstLine="0" w:firstLineChars="0"/>
        <w:rPr>
          <w:rFonts w:ascii="宋体" w:hAnsi="宋体"/>
        </w:rPr>
      </w:pPr>
      <w:r>
        <w:rPr>
          <w:rFonts w:hint="eastAsia" w:ascii="宋体" w:hAnsi="宋体"/>
        </w:rPr>
        <w:t>福建广生堂药业股份有限公司</w:t>
      </w:r>
    </w:p>
    <w:p w14:paraId="70698463">
      <w:pPr>
        <w:pStyle w:val="2"/>
        <w:keepNext w:val="0"/>
        <w:keepLines w:val="0"/>
        <w:spacing w:before="156" w:beforeLines="50" w:after="156" w:afterLines="50"/>
        <w:ind w:firstLine="0" w:firstLineChars="0"/>
        <w:rPr>
          <w:rFonts w:ascii="宋体" w:hAnsi="宋体"/>
        </w:rPr>
      </w:pPr>
      <w:r>
        <w:rPr>
          <w:rFonts w:hint="eastAsia" w:ascii="宋体" w:hAnsi="宋体"/>
        </w:rPr>
        <w:t>2025年半年度非经营性资金占用及其他关联资金往来情况汇总表</w:t>
      </w:r>
    </w:p>
    <w:p w14:paraId="069EFBA9">
      <w:pPr>
        <w:widowControl/>
        <w:adjustRightInd w:val="0"/>
        <w:snapToGrid w:val="0"/>
        <w:spacing w:line="360" w:lineRule="auto"/>
        <w:ind w:firstLine="0" w:firstLineChars="0"/>
        <w:jc w:val="right"/>
        <w:rPr>
          <w:rFonts w:ascii="宋体" w:hAnsi="宋体" w:cs="宋体"/>
          <w:b/>
          <w:sz w:val="21"/>
          <w:szCs w:val="21"/>
        </w:rPr>
      </w:pPr>
      <w:r>
        <w:rPr>
          <w:rFonts w:hint="eastAsia" w:ascii="宋体" w:hAnsi="宋体" w:cs="宋体"/>
          <w:sz w:val="28"/>
          <w:szCs w:val="28"/>
        </w:rPr>
        <w:t xml:space="preserve">     </w:t>
      </w:r>
      <w:r>
        <w:rPr>
          <w:rFonts w:hint="eastAsia" w:ascii="宋体" w:hAnsi="宋体" w:cs="宋体"/>
          <w:sz w:val="21"/>
          <w:szCs w:val="21"/>
        </w:rPr>
        <w:t xml:space="preserve"> 单位：万元</w:t>
      </w:r>
    </w:p>
    <w:tbl>
      <w:tblPr>
        <w:tblStyle w:val="7"/>
        <w:tblW w:w="1457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7"/>
        <w:gridCol w:w="1720"/>
        <w:gridCol w:w="1910"/>
        <w:gridCol w:w="930"/>
        <w:gridCol w:w="1340"/>
        <w:gridCol w:w="1270"/>
        <w:gridCol w:w="1100"/>
        <w:gridCol w:w="1170"/>
        <w:gridCol w:w="1190"/>
        <w:gridCol w:w="800"/>
        <w:gridCol w:w="1257"/>
      </w:tblGrid>
      <w:tr w14:paraId="1BA0A78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  <w:jc w:val="center"/>
        </w:trPr>
        <w:tc>
          <w:tcPr>
            <w:tcW w:w="188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4FD9B7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非经营性资金占用</w:t>
            </w:r>
          </w:p>
        </w:tc>
        <w:tc>
          <w:tcPr>
            <w:tcW w:w="17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81CB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资金占用方名称</w:t>
            </w:r>
          </w:p>
        </w:tc>
        <w:tc>
          <w:tcPr>
            <w:tcW w:w="19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65A3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占用方与上</w:t>
            </w:r>
          </w:p>
          <w:p w14:paraId="55A2C90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市公司的关联关系</w:t>
            </w:r>
          </w:p>
        </w:tc>
        <w:tc>
          <w:tcPr>
            <w:tcW w:w="9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B5782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上市公司核算的会计科目</w:t>
            </w:r>
          </w:p>
        </w:tc>
        <w:tc>
          <w:tcPr>
            <w:tcW w:w="13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9727C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2025年半年度期初占用资金余额</w:t>
            </w:r>
          </w:p>
        </w:tc>
        <w:tc>
          <w:tcPr>
            <w:tcW w:w="12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2DA40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2025年半年度占用累计发生金额（不含利息）</w:t>
            </w:r>
          </w:p>
        </w:tc>
        <w:tc>
          <w:tcPr>
            <w:tcW w:w="11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A946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2025年半年度占用资金的利息（如有）</w:t>
            </w:r>
          </w:p>
        </w:tc>
        <w:tc>
          <w:tcPr>
            <w:tcW w:w="1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785C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2025年半年度偿还累计发生金额</w:t>
            </w:r>
          </w:p>
        </w:tc>
        <w:tc>
          <w:tcPr>
            <w:tcW w:w="11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FDB3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2025年半年度期末占用资金余额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9A66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占用形成原因</w:t>
            </w:r>
          </w:p>
        </w:tc>
        <w:tc>
          <w:tcPr>
            <w:tcW w:w="125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5EF0B6B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占用性质</w:t>
            </w:r>
          </w:p>
        </w:tc>
      </w:tr>
      <w:tr w14:paraId="5153222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8B84F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控股股东、实际控制人及其附属企业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4491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70611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79B45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BC35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C80B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7CA4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525D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796FE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2D35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687C0C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非经营性占用</w:t>
            </w:r>
          </w:p>
        </w:tc>
      </w:tr>
      <w:tr w14:paraId="4036535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49AA8B8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66AA4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161E4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CAFA2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319D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84E3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D69F1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5278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9A31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BFA7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2A9DB8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非经营性占用</w:t>
            </w:r>
          </w:p>
        </w:tc>
      </w:tr>
      <w:tr w14:paraId="0B264C9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3960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小计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C59F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BF72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ECD29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F24D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A1D2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107D9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45C66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B6C0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1B61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54A045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14:paraId="025EA7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B61BB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前控股股东、实际控制人及其附属企业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82872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1439D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4A8FA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ADB6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B034B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5ADA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86C5D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95F0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BDCA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7CA731E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非经营性占用</w:t>
            </w:r>
          </w:p>
        </w:tc>
      </w:tr>
      <w:tr w14:paraId="0240162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4639AD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0E30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38A1D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79A2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8C03F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A07E5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C2DB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D7E3A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9CF2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8D72EE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1F546E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非经营性占用</w:t>
            </w:r>
          </w:p>
        </w:tc>
      </w:tr>
      <w:tr w14:paraId="5BDB015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91FC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小计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FC165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81AF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4411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6A20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47E4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09E00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CD936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E6B8B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883A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2A0925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14:paraId="34463BA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FFCCD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其他关联方及附属企业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64CBD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96D1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C930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2718D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67CB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5F1D78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C097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4E6C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BA86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82D371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非经营性占用</w:t>
            </w:r>
          </w:p>
        </w:tc>
      </w:tr>
      <w:tr w14:paraId="0D3B690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4C95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小计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5723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960A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12FF5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A6B6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0C6E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CCD1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BCC17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1CBC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E94D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0C7067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 w14:paraId="22A1E01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  <w:jc w:val="center"/>
        </w:trPr>
        <w:tc>
          <w:tcPr>
            <w:tcW w:w="188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247C4BC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总计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C0F5CA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8BD250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D6B4E4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B3BB8D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2FDFFF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78EF26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B84C23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234806F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B5633B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5E2F3BC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14:paraId="372C09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8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F94D6C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bookmarkStart w:id="0" w:name="_Hlk206687880"/>
            <w:r>
              <w:rPr>
                <w:rFonts w:hint="eastAsia"/>
                <w:b/>
                <w:sz w:val="21"/>
              </w:rPr>
              <w:t>其它关联资金往来</w:t>
            </w:r>
          </w:p>
        </w:tc>
        <w:tc>
          <w:tcPr>
            <w:tcW w:w="17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78957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资金往来方名称</w:t>
            </w:r>
          </w:p>
        </w:tc>
        <w:tc>
          <w:tcPr>
            <w:tcW w:w="19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9498A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往来方与上市公司的关联关系</w:t>
            </w:r>
          </w:p>
        </w:tc>
        <w:tc>
          <w:tcPr>
            <w:tcW w:w="9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108B1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上市公司核算的会计科目</w:t>
            </w:r>
          </w:p>
        </w:tc>
        <w:tc>
          <w:tcPr>
            <w:tcW w:w="13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4413CC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2025年半年度期初往来资金余额</w:t>
            </w:r>
          </w:p>
        </w:tc>
        <w:tc>
          <w:tcPr>
            <w:tcW w:w="12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E85D7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2025年半年度往来累计发生金额（不含利息）</w:t>
            </w:r>
          </w:p>
        </w:tc>
        <w:tc>
          <w:tcPr>
            <w:tcW w:w="11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0B76F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2025年半年度往来资金的利息（如有）</w:t>
            </w:r>
          </w:p>
        </w:tc>
        <w:tc>
          <w:tcPr>
            <w:tcW w:w="117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4369B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2025年半年度偿还累计发生金额</w:t>
            </w:r>
          </w:p>
        </w:tc>
        <w:tc>
          <w:tcPr>
            <w:tcW w:w="119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7A81D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2025年半年度期末往来资金余额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C752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往来形成原因</w:t>
            </w:r>
          </w:p>
        </w:tc>
        <w:tc>
          <w:tcPr>
            <w:tcW w:w="1257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388262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往来性质</w:t>
            </w:r>
          </w:p>
          <w:p w14:paraId="4437A84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（经营性往来、非经营性往来）</w:t>
            </w:r>
          </w:p>
        </w:tc>
      </w:tr>
      <w:tr w14:paraId="583447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88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7B01FB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控股股东、实际控制人及其附属企业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2722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0520E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BFBB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B085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67DC1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755D3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964DD6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9F095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849A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2378C80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 w14:paraId="7D6E42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20FB2D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FDEA7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E60A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C13D45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96E52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C54C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1BBB4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707A5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0C5611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97E8F3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D630549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</w:p>
        </w:tc>
      </w:tr>
      <w:tr w14:paraId="0BB20DB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restart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47246FC7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上市公司的子公司及其附属企业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9CE1E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福建广生堂金塘药业有限公司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63B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950AA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6DF2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3.69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07F3E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D94F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1213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23B0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3.69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36DF6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货款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548E8A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478FB08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6F5BCF7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D3D30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福建广生堂金塘药业有限公司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29CB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E353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其他应收款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F6D9B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800.00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AE43D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900.00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A642C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25.38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2732FF"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BE974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1,725.38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D040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拆出资金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10C149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非经营性往来</w:t>
            </w:r>
          </w:p>
        </w:tc>
      </w:tr>
      <w:tr w14:paraId="2A8DCF0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2690AE9C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7857B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福建广生中霖生物科技有限公司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4EBA6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F7E1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0519F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7,622.20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4ED8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799.11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9722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E740D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250.77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8C8EF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8,170.54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EC431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货款、技术服务与租赁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4E6577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73DDF7D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6AC02E4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4853A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福建广生中霖生物科技有限公司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696C5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61375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其他应收款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003B1E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3,011.88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E26B9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1,000.00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A2368A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55.52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2918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1,858.14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7EF2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2,209.26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EBE5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拆出资金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A9C054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非经营性往来</w:t>
            </w:r>
          </w:p>
        </w:tc>
      </w:tr>
      <w:tr w14:paraId="1B080D4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079FF337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A63A3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广喆来药业（福建）有限公司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6F0C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095E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ED7D2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45E42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63.94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EA223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87B7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64.42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9DA9E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-0.48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0BE2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80DD9E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74B88E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57588900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  <w:bookmarkStart w:id="1" w:name="_GoBack" w:colFirst="1" w:colLast="10"/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2570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广喆来药业（福建）有限公司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CB852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4DE9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CF48A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0.57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9E13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2.32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B6BA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91D2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2.18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59B4E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0.71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5D978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代结算物业水电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8D3623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非经营性往来</w:t>
            </w:r>
          </w:p>
        </w:tc>
      </w:tr>
      <w:tr w14:paraId="5532ED8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17521A95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12243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广喆来药业（福建）有限公司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C34C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F4F2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预付款项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0D7C6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1,682.33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6D8A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1,800.00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B8E7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5E6F3E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2,329.92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A922E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1,152.41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77FF2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销售服务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643B8EB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6888EF1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right w:val="single" w:color="000000" w:sz="4" w:space="0"/>
            </w:tcBorders>
            <w:vAlign w:val="center"/>
          </w:tcPr>
          <w:p w14:paraId="6F2D5C2B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1EC5F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福建广生堂电子商务有限责任公司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355D3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控股子公司控制的法人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A2727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其他会计科目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F6323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0016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0.36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7468F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970C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0.36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E50D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342F55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4D73319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2F8975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4A28C283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C0F95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福建多嘿嘿男性健康咨询有限公司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6FCE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控股子公司控制的法人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689A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其他会计科目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5B126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-0.32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0C0182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0.11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C08AE"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8B4B0"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EF78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-0.21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F81B22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2B881A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6E04258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F1CCA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其他关联方及其附属企业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216E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福建阿吉安生物科技有限公司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75A5A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AA882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DC74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13.46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DA561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15.64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E6B73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08E5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13.75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A3A61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15.35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FE01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839A0D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381CA55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04704F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3405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福建阿吉安生物科技有限公司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2E3E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5DED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8F397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0.57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55A03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6.16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BA07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309A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3.90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DC0E3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 xml:space="preserve"> 2.83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98CA5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代结算物业水电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5D299B7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非经营性往来</w:t>
            </w:r>
          </w:p>
        </w:tc>
      </w:tr>
      <w:bookmarkEnd w:id="1"/>
      <w:tr w14:paraId="5BB32D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8997D84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4E6C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福州吉昂医学检验实验室有限公司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E389A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D4FE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50282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8.86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78DB8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0.19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8B5B2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DD4EF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9.05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060B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640D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74614E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0DF6B98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A3A18BF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DE9D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福州吉昂医学检验实验室有限公司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359C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410D2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293E6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2.83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D325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6.49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D25D6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506B9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9.32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2C6CD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6200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代结算物业水电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7C57BAC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非经营性往来</w:t>
            </w:r>
          </w:p>
        </w:tc>
      </w:tr>
      <w:tr w14:paraId="43AFA26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1F8FC4E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C504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福建瑞泰来医药科技有限公司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39DC3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55567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400B3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125.08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D5040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0.60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51D95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1B161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0.60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64FFA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125.08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A5E41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技术服务与租赁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8DAA6A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32BAFB8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B9469E7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5C26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劲久达大健康科技（福建）有限公司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D959C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本企业所属企业集团的其他成员单位的合营企业或联营企业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953D9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应收账款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5592E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E9913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0.12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5E3F4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933CA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0.12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736DE9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ED39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0A1947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515B17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974952F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EE4C2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福州奥泰五期投资合伙企业（有限合伙）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3E0D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其他关联方及其附属企业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C963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其他会计科目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2AA4F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-0.29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66AA2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0.19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B1EE8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7962B"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1F244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282447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2683607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65C6AB3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D754461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2EA2F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福州奥泰六期投资合伙企业（有限合伙）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C6096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其他关联方及其附属企业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57DDC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其他会计科目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6318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-0.29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4E77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0.19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43E166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EE1E6F"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384167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B16E7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9770DE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4A5A88B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  <w:jc w:val="center"/>
        </w:trPr>
        <w:tc>
          <w:tcPr>
            <w:tcW w:w="188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8A4846"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623FDD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福州奥泰九期投资合伙企业（有限合伙）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CC7D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其他关联方及其附属企业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2402C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C9185C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64CB9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0.23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170C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  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AA958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0.42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7AFD4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 xml:space="preserve"> -0.19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ACC79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租赁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1F9FD32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经营性往来</w:t>
            </w:r>
          </w:p>
        </w:tc>
      </w:tr>
      <w:tr w14:paraId="34A7A87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  <w:jc w:val="center"/>
        </w:trPr>
        <w:tc>
          <w:tcPr>
            <w:tcW w:w="188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 w14:paraId="742A15AE">
            <w:pPr>
              <w:pStyle w:val="9"/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>总计</w:t>
            </w:r>
          </w:p>
        </w:tc>
        <w:tc>
          <w:tcPr>
            <w:tcW w:w="1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0F885C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—</w:t>
            </w:r>
          </w:p>
        </w:tc>
        <w:tc>
          <w:tcPr>
            <w:tcW w:w="19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E99DE1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—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E45340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—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B817245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b/>
                <w:bCs/>
                <w:sz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13,270.5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EFA1F4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b/>
                <w:bCs/>
                <w:sz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4,595.65 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16AC13B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b/>
                <w:bCs/>
                <w:sz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80.90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69F48A9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b/>
                <w:bCs/>
                <w:sz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4,542.95 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1635220">
            <w:pPr>
              <w:widowControl/>
              <w:spacing w:line="240" w:lineRule="auto"/>
              <w:ind w:firstLine="0" w:firstLineChars="0"/>
              <w:jc w:val="right"/>
              <w:textAlignment w:val="center"/>
              <w:rPr>
                <w:rFonts w:ascii="宋体" w:hAnsi="宋体" w:cs="宋体"/>
                <w:b/>
                <w:bCs/>
                <w:sz w:val="20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13,404.1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>4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highlight w:val="none"/>
                <w:lang w:bidi="ar"/>
              </w:rPr>
              <w:t xml:space="preserve">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A9F2BAF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sz w:val="20"/>
                <w:highlight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228EF1F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—</w:t>
            </w:r>
          </w:p>
        </w:tc>
      </w:tr>
      <w:bookmarkEnd w:id="0"/>
    </w:tbl>
    <w:p w14:paraId="03EBB34E">
      <w:pPr>
        <w:adjustRightInd w:val="0"/>
        <w:snapToGrid w:val="0"/>
        <w:spacing w:line="240" w:lineRule="auto"/>
        <w:ind w:firstLine="36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注：①表中非经营性占用部分，关联方范围依照《创业板上市规则》确定。②无控股股东、实际控制人的公司，存在第一大股东或第一大股东关联人非经营性占用资金的，也应填写本表非经营性占用部分。</w:t>
      </w:r>
    </w:p>
    <w:p w14:paraId="5D308338">
      <w:pPr>
        <w:adjustRightInd w:val="0"/>
        <w:snapToGrid w:val="0"/>
        <w:spacing w:line="240" w:lineRule="auto"/>
        <w:ind w:firstLine="360"/>
        <w:rPr>
          <w:rFonts w:ascii="宋体" w:hAnsi="宋体" w:cs="宋体"/>
          <w:sz w:val="18"/>
          <w:szCs w:val="18"/>
        </w:rPr>
      </w:pPr>
    </w:p>
    <w:p w14:paraId="22B54DC5">
      <w:pPr>
        <w:adjustRightInd w:val="0"/>
        <w:snapToGrid w:val="0"/>
        <w:spacing w:line="360" w:lineRule="auto"/>
        <w:ind w:firstLine="0" w:firstLineChars="0"/>
        <w:rPr>
          <w:rFonts w:ascii="宋体" w:hAnsi="宋体" w:cs="宋体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8B9AAD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48DA00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F6170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50BC3F">
    <w:pPr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A30F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923D10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NGRkYzFmZjU5M2IyNDcwNDNmNDQyNjMyMzA5ZDUifQ=="/>
    <w:docVar w:name="metasota_documentID" w:val="8469553763120390144"/>
  </w:docVars>
  <w:rsids>
    <w:rsidRoot w:val="1E0E744C"/>
    <w:rsid w:val="00044DF1"/>
    <w:rsid w:val="00044FDF"/>
    <w:rsid w:val="00104124"/>
    <w:rsid w:val="00117C5F"/>
    <w:rsid w:val="00132776"/>
    <w:rsid w:val="001444D1"/>
    <w:rsid w:val="001575BD"/>
    <w:rsid w:val="00173CE7"/>
    <w:rsid w:val="0027111A"/>
    <w:rsid w:val="003603C2"/>
    <w:rsid w:val="003E505C"/>
    <w:rsid w:val="00442779"/>
    <w:rsid w:val="00546801"/>
    <w:rsid w:val="00580C69"/>
    <w:rsid w:val="005C0B0F"/>
    <w:rsid w:val="007725EC"/>
    <w:rsid w:val="0080426B"/>
    <w:rsid w:val="00874029"/>
    <w:rsid w:val="008F62D6"/>
    <w:rsid w:val="00B95D1E"/>
    <w:rsid w:val="00C44635"/>
    <w:rsid w:val="00CA302E"/>
    <w:rsid w:val="00D53791"/>
    <w:rsid w:val="00E0445E"/>
    <w:rsid w:val="00EB5C3D"/>
    <w:rsid w:val="00FD1565"/>
    <w:rsid w:val="0F810E3D"/>
    <w:rsid w:val="0F9A034A"/>
    <w:rsid w:val="1E0E744C"/>
    <w:rsid w:val="24961CFA"/>
    <w:rsid w:val="269E7683"/>
    <w:rsid w:val="351E20FC"/>
    <w:rsid w:val="3602029B"/>
    <w:rsid w:val="39FF1CAB"/>
    <w:rsid w:val="3A313F2F"/>
    <w:rsid w:val="4E636855"/>
    <w:rsid w:val="51DA5080"/>
    <w:rsid w:val="5E7D7BC5"/>
    <w:rsid w:val="662302EB"/>
    <w:rsid w:val="695E33A9"/>
    <w:rsid w:val="6C184AD0"/>
    <w:rsid w:val="6D426282"/>
    <w:rsid w:val="7A884DCA"/>
    <w:rsid w:val="7A994E50"/>
    <w:rsid w:val="7BC3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360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360" w:lineRule="auto"/>
      <w:ind w:firstLine="0" w:firstLineChars="0"/>
      <w:outlineLvl w:val="1"/>
    </w:pPr>
    <w:rPr>
      <w:rFonts w:ascii="Cambria" w:hAnsi="Cambria"/>
      <w:bCs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rPr>
      <w:rFonts w:ascii="宋体" w:hAnsi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1370</Words>
  <Characters>1697</Characters>
  <Lines>16</Lines>
  <Paragraphs>4</Paragraphs>
  <TotalTime>18</TotalTime>
  <ScaleCrop>false</ScaleCrop>
  <LinksUpToDate>false</LinksUpToDate>
  <CharactersWithSpaces>1929</CharactersWithSpaces>
  <Application>WPS Office_12.1.0.21911_F1E327BC-269C-435d-A152-05C5408002CA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2023-12-29T17:31:00Z</dcterms:created>
  <dc:creator>谢莉芳</dc:creator>
  <cp:lastModifiedBy>cdq</cp:lastModifiedBy>
  <dcterms:modified xsi:type="dcterms:W3CDTF">2025-08-21T09:23:09Z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6024905C76BD4729BFD68D9B8A47669E_11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