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FFAF0">
      <w:pPr>
        <w:spacing w:before="2400" w:line="773" w:lineRule="exact"/>
        <w:jc w:val="center"/>
        <w:rPr>
          <w:rFonts w:ascii="宋体" w:hAnsi="宋体" w:eastAsia="宋体" w:cs="宋体"/>
          <w:b/>
          <w:bCs/>
          <w:color w:val="auto"/>
          <w:sz w:val="36"/>
          <w:szCs w:val="36"/>
        </w:rPr>
      </w:pPr>
      <w:r>
        <w:rPr>
          <w:rFonts w:ascii="Times New Roman" w:hAnsi="Times New Roman" w:eastAsia="宋体" w:cs="Times New Roman"/>
          <w:color w:val="auto"/>
        </w:rPr>
        <w:drawing>
          <wp:inline distT="0" distB="0" distL="0" distR="0">
            <wp:extent cx="4749800" cy="10407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cstate="print"/>
                    <a:stretch>
                      <a:fillRect/>
                    </a:stretch>
                  </pic:blipFill>
                  <pic:spPr>
                    <a:xfrm>
                      <a:off x="0" y="0"/>
                      <a:ext cx="4955238" cy="1086032"/>
                    </a:xfrm>
                    <a:prstGeom prst="rect">
                      <a:avLst/>
                    </a:prstGeom>
                  </pic:spPr>
                </pic:pic>
              </a:graphicData>
            </a:graphic>
          </wp:inline>
        </w:drawing>
      </w:r>
    </w:p>
    <w:p w14:paraId="5AE20B5A">
      <w:pPr>
        <w:spacing w:before="2400" w:line="773" w:lineRule="exact"/>
        <w:jc w:val="center"/>
        <w:rPr>
          <w:rFonts w:ascii="宋体" w:hAnsi="宋体" w:eastAsia="宋体" w:cs="宋体"/>
          <w:b/>
          <w:bCs/>
          <w:color w:val="auto"/>
          <w:sz w:val="36"/>
          <w:szCs w:val="36"/>
        </w:rPr>
      </w:pPr>
      <w:r>
        <w:rPr>
          <w:rFonts w:ascii="宋体" w:hAnsi="宋体" w:eastAsia="宋体" w:cs="宋体"/>
          <w:b/>
          <w:bCs/>
          <w:color w:val="auto"/>
          <w:sz w:val="36"/>
          <w:szCs w:val="36"/>
        </w:rPr>
        <w:t>福建广生堂药业股份有限公司</w:t>
      </w:r>
    </w:p>
    <w:p w14:paraId="2CDA56F6">
      <w:pPr>
        <w:spacing w:before="1000" w:line="240" w:lineRule="exact"/>
        <w:jc w:val="center"/>
        <w:rPr>
          <w:rFonts w:ascii="宋体" w:hAnsi="宋体" w:eastAsia="宋体" w:cs="宋体"/>
          <w:b/>
          <w:bCs/>
          <w:color w:val="auto"/>
          <w:sz w:val="32"/>
          <w:szCs w:val="32"/>
        </w:rPr>
      </w:pPr>
      <w:r>
        <w:rPr>
          <w:rFonts w:ascii="宋体" w:hAnsi="宋体" w:eastAsia="宋体" w:cs="宋体"/>
          <w:b/>
          <w:bCs/>
          <w:color w:val="auto"/>
          <w:sz w:val="32"/>
          <w:szCs w:val="32"/>
        </w:rPr>
        <w:t>202</w:t>
      </w:r>
      <w:r>
        <w:rPr>
          <w:rFonts w:hint="eastAsia" w:ascii="宋体" w:hAnsi="宋体" w:eastAsia="宋体" w:cs="宋体"/>
          <w:b/>
          <w:bCs/>
          <w:color w:val="auto"/>
          <w:sz w:val="32"/>
          <w:szCs w:val="32"/>
          <w:lang w:val="en-US" w:eastAsia="zh-CN"/>
        </w:rPr>
        <w:t>5</w:t>
      </w:r>
      <w:r>
        <w:rPr>
          <w:rFonts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半</w:t>
      </w:r>
      <w:r>
        <w:rPr>
          <w:rFonts w:ascii="宋体" w:hAnsi="宋体" w:eastAsia="宋体" w:cs="宋体"/>
          <w:b/>
          <w:bCs/>
          <w:color w:val="auto"/>
          <w:sz w:val="32"/>
          <w:szCs w:val="32"/>
        </w:rPr>
        <w:t>年度</w:t>
      </w:r>
      <w:r>
        <w:rPr>
          <w:rFonts w:hint="eastAsia" w:ascii="宋体" w:hAnsi="宋体" w:cs="宋体"/>
          <w:b/>
          <w:bCs/>
          <w:color w:val="auto"/>
          <w:sz w:val="32"/>
          <w:szCs w:val="32"/>
          <w:lang w:val="en-US" w:eastAsia="zh-CN"/>
        </w:rPr>
        <w:t>财务</w:t>
      </w:r>
      <w:r>
        <w:rPr>
          <w:rFonts w:ascii="宋体" w:hAnsi="宋体" w:eastAsia="宋体" w:cs="宋体"/>
          <w:b/>
          <w:bCs/>
          <w:color w:val="auto"/>
          <w:sz w:val="32"/>
          <w:szCs w:val="32"/>
        </w:rPr>
        <w:t>报告</w:t>
      </w:r>
    </w:p>
    <w:p w14:paraId="4F46D7FC">
      <w:pPr>
        <w:spacing w:before="1000" w:line="240" w:lineRule="exact"/>
        <w:jc w:val="center"/>
        <w:rPr>
          <w:rFonts w:ascii="宋体" w:hAnsi="宋体" w:eastAsia="宋体" w:cs="宋体"/>
          <w:b/>
          <w:bCs/>
          <w:color w:val="auto"/>
          <w:szCs w:val="21"/>
        </w:rPr>
      </w:pPr>
    </w:p>
    <w:p w14:paraId="6BD8B65C">
      <w:pPr>
        <w:spacing w:before="1000" w:after="1000" w:line="0" w:lineRule="atLeast"/>
        <w:jc w:val="center"/>
        <w:rPr>
          <w:rFonts w:ascii="Times New Roman" w:hAnsi="Times New Roman" w:eastAsia="宋体" w:cs="Times New Roman"/>
          <w:color w:val="auto"/>
        </w:rPr>
      </w:pPr>
    </w:p>
    <w:p w14:paraId="42739DEF">
      <w:pPr>
        <w:spacing w:before="400" w:after="0" w:line="320" w:lineRule="exact"/>
        <w:jc w:val="center"/>
        <w:rPr>
          <w:rFonts w:ascii="宋体" w:hAnsi="宋体" w:eastAsia="宋体" w:cs="宋体"/>
          <w:b/>
          <w:bCs/>
          <w:color w:val="auto"/>
          <w:sz w:val="32"/>
          <w:szCs w:val="32"/>
        </w:rPr>
      </w:pPr>
      <w:r>
        <w:rPr>
          <w:rFonts w:hint="eastAsia" w:ascii="宋体" w:hAnsi="宋体" w:eastAsia="宋体" w:cs="宋体"/>
          <w:b/>
          <w:bCs/>
          <w:color w:val="auto"/>
          <w:sz w:val="32"/>
          <w:szCs w:val="32"/>
        </w:rPr>
        <w:t>202</w:t>
      </w:r>
      <w:r>
        <w:rPr>
          <w:rFonts w:hint="eastAsia" w:ascii="宋体" w:hAnsi="宋体" w:eastAsia="宋体" w:cs="宋体"/>
          <w:b/>
          <w:bCs/>
          <w:color w:val="auto"/>
          <w:sz w:val="32"/>
          <w:szCs w:val="32"/>
          <w:lang w:val="en-US" w:eastAsia="zh-CN"/>
        </w:rPr>
        <w:t>5</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8</w:t>
      </w:r>
      <w:r>
        <w:rPr>
          <w:rFonts w:hint="eastAsia" w:ascii="宋体" w:hAnsi="宋体" w:eastAsia="宋体" w:cs="宋体"/>
          <w:b/>
          <w:bCs/>
          <w:color w:val="auto"/>
          <w:sz w:val="32"/>
          <w:szCs w:val="32"/>
        </w:rPr>
        <w:t>月</w:t>
      </w:r>
    </w:p>
    <w:p w14:paraId="33379E9A">
      <w:pPr>
        <w:rPr>
          <w:color w:val="auto"/>
        </w:rPr>
      </w:pPr>
      <w:r>
        <w:rPr>
          <w:color w:val="auto"/>
        </w:rPr>
        <w:br w:type="page"/>
      </w:r>
    </w:p>
    <w:p w14:paraId="3F158204">
      <w:pPr>
        <w:keepNext/>
        <w:keepLines/>
        <w:spacing w:before="340" w:after="330" w:line="773" w:lineRule="exact"/>
        <w:jc w:val="center"/>
        <w:outlineLvl w:val="0"/>
        <w:rPr>
          <w:rFonts w:ascii="宋体" w:hAnsi="宋体" w:eastAsia="宋体" w:cs="宋体"/>
          <w:b/>
          <w:bCs/>
          <w:color w:val="auto"/>
          <w:sz w:val="32"/>
          <w:szCs w:val="32"/>
        </w:rPr>
      </w:pPr>
      <w:bookmarkStart w:id="0" w:name="_Toc988976"/>
      <w:r>
        <w:rPr>
          <w:rFonts w:ascii="宋体" w:hAnsi="宋体" w:eastAsia="宋体" w:cs="宋体"/>
          <w:b/>
          <w:bCs/>
          <w:color w:val="auto"/>
          <w:sz w:val="32"/>
          <w:szCs w:val="32"/>
        </w:rPr>
        <w:t>财务报告</w:t>
      </w:r>
      <w:bookmarkEnd w:id="0"/>
    </w:p>
    <w:p w14:paraId="1269A670">
      <w:pPr>
        <w:keepNext/>
        <w:keepLines/>
        <w:spacing w:before="300" w:after="300" w:line="320" w:lineRule="exact"/>
        <w:jc w:val="left"/>
        <w:outlineLvl w:val="1"/>
        <w:rPr>
          <w:rFonts w:ascii="宋体" w:hAnsi="宋体" w:eastAsia="宋体" w:cs="宋体"/>
          <w:b/>
          <w:bCs/>
          <w:color w:val="auto"/>
          <w:sz w:val="24"/>
          <w:szCs w:val="24"/>
        </w:rPr>
      </w:pPr>
      <w:bookmarkStart w:id="1" w:name="_Toc988977"/>
      <w:r>
        <w:rPr>
          <w:rFonts w:ascii="宋体" w:hAnsi="宋体" w:eastAsia="宋体" w:cs="宋体"/>
          <w:b/>
          <w:bCs/>
          <w:color w:val="auto"/>
          <w:sz w:val="24"/>
          <w:szCs w:val="24"/>
        </w:rPr>
        <w:t>一、审计报告</w:t>
      </w:r>
      <w:bookmarkEnd w:id="1"/>
    </w:p>
    <w:p w14:paraId="451F9DF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半年度报告是否经过审计</w:t>
      </w:r>
    </w:p>
    <w:p w14:paraId="11722EA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□是</w:t>
      </w:r>
      <w:r>
        <w:rPr>
          <w:rFonts w:ascii="宋体" w:hAnsi="宋体" w:eastAsia="宋体" w:cs="宋体"/>
          <w:color w:val="auto"/>
          <w:sz w:val="18"/>
          <w:szCs w:val="18"/>
        </w:rPr>
        <w:sym w:font="Wingdings 2" w:char="F052"/>
      </w:r>
      <w:r>
        <w:rPr>
          <w:rFonts w:ascii="宋体" w:hAnsi="宋体" w:eastAsia="宋体" w:cs="宋体"/>
          <w:color w:val="auto"/>
          <w:sz w:val="18"/>
          <w:szCs w:val="18"/>
        </w:rPr>
        <w:t>否</w:t>
      </w:r>
    </w:p>
    <w:p w14:paraId="46A7AF1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公司半年度财务报告未经审计。</w:t>
      </w:r>
    </w:p>
    <w:p w14:paraId="4AC96AC9">
      <w:pPr>
        <w:keepNext/>
        <w:keepLines/>
        <w:spacing w:before="300" w:after="300" w:line="320" w:lineRule="exact"/>
        <w:jc w:val="left"/>
        <w:outlineLvl w:val="1"/>
        <w:rPr>
          <w:rFonts w:ascii="宋体" w:hAnsi="宋体" w:eastAsia="宋体" w:cs="宋体"/>
          <w:b/>
          <w:bCs/>
          <w:color w:val="auto"/>
          <w:sz w:val="24"/>
          <w:szCs w:val="24"/>
        </w:rPr>
      </w:pPr>
      <w:bookmarkStart w:id="2" w:name="_Toc988978"/>
      <w:r>
        <w:rPr>
          <w:rFonts w:ascii="宋体" w:hAnsi="宋体" w:eastAsia="宋体" w:cs="宋体"/>
          <w:b/>
          <w:bCs/>
          <w:color w:val="auto"/>
          <w:sz w:val="24"/>
          <w:szCs w:val="24"/>
        </w:rPr>
        <w:t>二、财务报表</w:t>
      </w:r>
      <w:bookmarkEnd w:id="2"/>
    </w:p>
    <w:p w14:paraId="29B0799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财务附注中报表的单位为：元</w:t>
      </w:r>
    </w:p>
    <w:p w14:paraId="02AA1181">
      <w:pPr>
        <w:keepNext/>
        <w:keepLines/>
        <w:spacing w:before="300" w:after="300" w:line="280" w:lineRule="exact"/>
        <w:jc w:val="left"/>
        <w:outlineLvl w:val="2"/>
        <w:rPr>
          <w:rFonts w:ascii="宋体" w:hAnsi="宋体" w:eastAsia="宋体" w:cs="宋体"/>
          <w:b/>
          <w:bCs/>
          <w:color w:val="auto"/>
          <w:sz w:val="21"/>
          <w:szCs w:val="21"/>
        </w:rPr>
      </w:pPr>
      <w:bookmarkStart w:id="3" w:name="_Toc988979"/>
      <w:r>
        <w:rPr>
          <w:rFonts w:ascii="宋体" w:hAnsi="宋体" w:eastAsia="宋体" w:cs="宋体"/>
          <w:b/>
          <w:bCs/>
          <w:color w:val="auto"/>
          <w:sz w:val="21"/>
          <w:szCs w:val="21"/>
        </w:rPr>
        <w:t>1、合并资产负债表</w:t>
      </w:r>
      <w:bookmarkEnd w:id="3"/>
    </w:p>
    <w:p w14:paraId="6AD0837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编制单位：福建广生堂药业股份有限公司</w:t>
      </w:r>
    </w:p>
    <w:p w14:paraId="61374587">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2025年0</w:t>
      </w:r>
      <w:r>
        <w:rPr>
          <w:rFonts w:hint="eastAsia" w:ascii="宋体" w:hAnsi="宋体" w:cs="宋体"/>
          <w:color w:val="auto"/>
          <w:sz w:val="18"/>
          <w:szCs w:val="18"/>
          <w:lang w:val="en-US" w:eastAsia="zh-CN"/>
        </w:rPr>
        <w:t>6</w:t>
      </w:r>
      <w:r>
        <w:rPr>
          <w:rFonts w:ascii="宋体" w:hAnsi="宋体" w:eastAsia="宋体" w:cs="宋体"/>
          <w:color w:val="auto"/>
          <w:sz w:val="18"/>
          <w:szCs w:val="18"/>
        </w:rPr>
        <w:t>月</w:t>
      </w:r>
      <w:r>
        <w:rPr>
          <w:rFonts w:hint="eastAsia" w:ascii="宋体" w:hAnsi="宋体" w:cs="宋体"/>
          <w:color w:val="auto"/>
          <w:sz w:val="18"/>
          <w:szCs w:val="18"/>
          <w:lang w:val="en-US" w:eastAsia="zh-CN"/>
        </w:rPr>
        <w:t>30</w:t>
      </w:r>
      <w:bookmarkStart w:id="467" w:name="_GoBack"/>
      <w:bookmarkEnd w:id="467"/>
      <w:r>
        <w:rPr>
          <w:rFonts w:ascii="宋体" w:hAnsi="宋体" w:eastAsia="宋体" w:cs="宋体"/>
          <w:color w:val="auto"/>
          <w:sz w:val="18"/>
          <w:szCs w:val="18"/>
        </w:rPr>
        <w:t>日</w:t>
      </w:r>
    </w:p>
    <w:p w14:paraId="6CB7444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E73E7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AB8F6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0E8FC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F199A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6138A4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1B530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EDCDAC">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BE1289">
            <w:pPr>
              <w:rPr>
                <w:color w:val="auto"/>
              </w:rPr>
            </w:pPr>
          </w:p>
        </w:tc>
      </w:tr>
      <w:tr w14:paraId="1D3562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7D35AB">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166E45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82,440,959.09</w:t>
            </w:r>
          </w:p>
        </w:tc>
        <w:tc>
          <w:tcPr>
            <w:tcW w:w="3213" w:type="dxa"/>
            <w:tcBorders>
              <w:top w:val="single" w:color="auto" w:sz="2" w:space="0"/>
              <w:left w:val="single" w:color="auto" w:sz="2" w:space="0"/>
              <w:bottom w:val="single" w:color="auto" w:sz="2" w:space="0"/>
              <w:right w:val="single" w:color="auto" w:sz="2" w:space="0"/>
            </w:tcBorders>
            <w:vAlign w:val="center"/>
          </w:tcPr>
          <w:p w14:paraId="735FE0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143,954,066.36</w:t>
            </w:r>
          </w:p>
        </w:tc>
      </w:tr>
      <w:tr w14:paraId="204DBB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FAD146">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结算备付金</w:t>
            </w:r>
          </w:p>
        </w:tc>
        <w:tc>
          <w:tcPr>
            <w:tcW w:w="3213" w:type="dxa"/>
            <w:tcBorders>
              <w:top w:val="single" w:color="auto" w:sz="2" w:space="0"/>
              <w:left w:val="single" w:color="auto" w:sz="2" w:space="0"/>
              <w:bottom w:val="single" w:color="auto" w:sz="2" w:space="0"/>
              <w:right w:val="single" w:color="auto" w:sz="2" w:space="0"/>
            </w:tcBorders>
            <w:vAlign w:val="center"/>
          </w:tcPr>
          <w:p w14:paraId="655CBB4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19E1F3">
            <w:pPr>
              <w:spacing w:before="0" w:after="0" w:line="240" w:lineRule="exact"/>
              <w:jc w:val="right"/>
              <w:rPr>
                <w:rFonts w:ascii="宋体" w:hAnsi="宋体" w:eastAsia="宋体" w:cs="宋体"/>
                <w:color w:val="auto"/>
                <w:sz w:val="18"/>
                <w:szCs w:val="18"/>
              </w:rPr>
            </w:pPr>
          </w:p>
        </w:tc>
      </w:tr>
      <w:tr w14:paraId="160602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7A70C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拆出资金</w:t>
            </w:r>
          </w:p>
        </w:tc>
        <w:tc>
          <w:tcPr>
            <w:tcW w:w="3213" w:type="dxa"/>
            <w:tcBorders>
              <w:top w:val="single" w:color="auto" w:sz="2" w:space="0"/>
              <w:left w:val="single" w:color="auto" w:sz="2" w:space="0"/>
              <w:bottom w:val="single" w:color="auto" w:sz="2" w:space="0"/>
              <w:right w:val="single" w:color="auto" w:sz="2" w:space="0"/>
            </w:tcBorders>
            <w:vAlign w:val="center"/>
          </w:tcPr>
          <w:p w14:paraId="3CCB29A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EB431F">
            <w:pPr>
              <w:spacing w:before="0" w:after="0" w:line="240" w:lineRule="exact"/>
              <w:jc w:val="right"/>
              <w:rPr>
                <w:rFonts w:ascii="宋体" w:hAnsi="宋体" w:eastAsia="宋体" w:cs="宋体"/>
                <w:color w:val="auto"/>
                <w:sz w:val="18"/>
                <w:szCs w:val="18"/>
              </w:rPr>
            </w:pPr>
          </w:p>
        </w:tc>
      </w:tr>
      <w:tr w14:paraId="13F1C8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52750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29EEA3F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970F50">
            <w:pPr>
              <w:spacing w:before="0" w:after="0" w:line="240" w:lineRule="exact"/>
              <w:jc w:val="right"/>
              <w:rPr>
                <w:rFonts w:ascii="宋体" w:hAnsi="宋体" w:eastAsia="宋体" w:cs="宋体"/>
                <w:color w:val="auto"/>
                <w:sz w:val="18"/>
                <w:szCs w:val="18"/>
              </w:rPr>
            </w:pPr>
          </w:p>
        </w:tc>
      </w:tr>
      <w:tr w14:paraId="221052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E98DC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79E4096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68D1B57">
            <w:pPr>
              <w:spacing w:before="0" w:after="0" w:line="240" w:lineRule="exact"/>
              <w:jc w:val="right"/>
              <w:rPr>
                <w:rFonts w:ascii="宋体" w:hAnsi="宋体" w:eastAsia="宋体" w:cs="宋体"/>
                <w:color w:val="auto"/>
                <w:sz w:val="18"/>
                <w:szCs w:val="18"/>
              </w:rPr>
            </w:pPr>
          </w:p>
        </w:tc>
      </w:tr>
      <w:tr w14:paraId="79DA50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7ED13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4E22BC7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D65E6A8">
            <w:pPr>
              <w:spacing w:before="0" w:after="0" w:line="240" w:lineRule="exact"/>
              <w:jc w:val="right"/>
              <w:rPr>
                <w:rFonts w:ascii="宋体" w:hAnsi="宋体" w:eastAsia="宋体" w:cs="宋体"/>
                <w:color w:val="auto"/>
                <w:sz w:val="18"/>
                <w:szCs w:val="18"/>
              </w:rPr>
            </w:pPr>
          </w:p>
        </w:tc>
      </w:tr>
      <w:tr w14:paraId="5ECF97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12DA8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14:paraId="0356C2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82,777,388.91</w:t>
            </w:r>
          </w:p>
        </w:tc>
        <w:tc>
          <w:tcPr>
            <w:tcW w:w="3213" w:type="dxa"/>
            <w:tcBorders>
              <w:top w:val="single" w:color="auto" w:sz="2" w:space="0"/>
              <w:left w:val="single" w:color="auto" w:sz="2" w:space="0"/>
              <w:bottom w:val="single" w:color="auto" w:sz="2" w:space="0"/>
              <w:right w:val="single" w:color="auto" w:sz="2" w:space="0"/>
            </w:tcBorders>
            <w:vAlign w:val="center"/>
          </w:tcPr>
          <w:p w14:paraId="432686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68,135,478.18</w:t>
            </w:r>
          </w:p>
        </w:tc>
      </w:tr>
      <w:tr w14:paraId="43E718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292DD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14:paraId="025449C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2,469,526.50</w:t>
            </w:r>
          </w:p>
        </w:tc>
        <w:tc>
          <w:tcPr>
            <w:tcW w:w="3213" w:type="dxa"/>
            <w:tcBorders>
              <w:top w:val="single" w:color="auto" w:sz="2" w:space="0"/>
              <w:left w:val="single" w:color="auto" w:sz="2" w:space="0"/>
              <w:bottom w:val="single" w:color="auto" w:sz="2" w:space="0"/>
              <w:right w:val="single" w:color="auto" w:sz="2" w:space="0"/>
            </w:tcBorders>
            <w:vAlign w:val="center"/>
          </w:tcPr>
          <w:p w14:paraId="4260739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2,292,928.00</w:t>
            </w:r>
          </w:p>
        </w:tc>
      </w:tr>
      <w:tr w14:paraId="2B9F9F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961F4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14:paraId="5E2AE6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5,505,360.84</w:t>
            </w:r>
          </w:p>
        </w:tc>
        <w:tc>
          <w:tcPr>
            <w:tcW w:w="3213" w:type="dxa"/>
            <w:tcBorders>
              <w:top w:val="single" w:color="auto" w:sz="2" w:space="0"/>
              <w:left w:val="single" w:color="auto" w:sz="2" w:space="0"/>
              <w:bottom w:val="single" w:color="auto" w:sz="2" w:space="0"/>
              <w:right w:val="single" w:color="auto" w:sz="2" w:space="0"/>
            </w:tcBorders>
            <w:vAlign w:val="center"/>
          </w:tcPr>
          <w:p w14:paraId="2CCE579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14,361,064.89</w:t>
            </w:r>
          </w:p>
        </w:tc>
      </w:tr>
      <w:tr w14:paraId="291F86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2B8966">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应收保费</w:t>
            </w:r>
          </w:p>
        </w:tc>
        <w:tc>
          <w:tcPr>
            <w:tcW w:w="3213" w:type="dxa"/>
            <w:tcBorders>
              <w:top w:val="single" w:color="auto" w:sz="2" w:space="0"/>
              <w:left w:val="single" w:color="auto" w:sz="2" w:space="0"/>
              <w:bottom w:val="single" w:color="auto" w:sz="2" w:space="0"/>
              <w:right w:val="single" w:color="auto" w:sz="2" w:space="0"/>
            </w:tcBorders>
            <w:vAlign w:val="center"/>
          </w:tcPr>
          <w:p w14:paraId="29AECD0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E35885">
            <w:pPr>
              <w:spacing w:before="0" w:after="0" w:line="240" w:lineRule="exact"/>
              <w:jc w:val="right"/>
              <w:rPr>
                <w:rFonts w:ascii="宋体" w:hAnsi="宋体" w:eastAsia="宋体" w:cs="宋体"/>
                <w:color w:val="auto"/>
                <w:sz w:val="18"/>
                <w:szCs w:val="18"/>
              </w:rPr>
            </w:pPr>
          </w:p>
        </w:tc>
      </w:tr>
      <w:tr w14:paraId="352E6C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A562C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应收分保账款</w:t>
            </w:r>
          </w:p>
        </w:tc>
        <w:tc>
          <w:tcPr>
            <w:tcW w:w="3213" w:type="dxa"/>
            <w:tcBorders>
              <w:top w:val="single" w:color="auto" w:sz="2" w:space="0"/>
              <w:left w:val="single" w:color="auto" w:sz="2" w:space="0"/>
              <w:bottom w:val="single" w:color="auto" w:sz="2" w:space="0"/>
              <w:right w:val="single" w:color="auto" w:sz="2" w:space="0"/>
            </w:tcBorders>
            <w:vAlign w:val="center"/>
          </w:tcPr>
          <w:p w14:paraId="2A33174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72E6594">
            <w:pPr>
              <w:spacing w:before="0" w:after="0" w:line="240" w:lineRule="exact"/>
              <w:jc w:val="right"/>
              <w:rPr>
                <w:rFonts w:ascii="宋体" w:hAnsi="宋体" w:eastAsia="宋体" w:cs="宋体"/>
                <w:color w:val="auto"/>
                <w:sz w:val="18"/>
                <w:szCs w:val="18"/>
              </w:rPr>
            </w:pPr>
          </w:p>
        </w:tc>
      </w:tr>
      <w:tr w14:paraId="6397F4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77F189">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应收分保合同准备金</w:t>
            </w:r>
          </w:p>
        </w:tc>
        <w:tc>
          <w:tcPr>
            <w:tcW w:w="3213" w:type="dxa"/>
            <w:tcBorders>
              <w:top w:val="single" w:color="auto" w:sz="2" w:space="0"/>
              <w:left w:val="single" w:color="auto" w:sz="2" w:space="0"/>
              <w:bottom w:val="single" w:color="auto" w:sz="2" w:space="0"/>
              <w:right w:val="single" w:color="auto" w:sz="2" w:space="0"/>
            </w:tcBorders>
            <w:vAlign w:val="center"/>
          </w:tcPr>
          <w:p w14:paraId="1DFF5C0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9B1584">
            <w:pPr>
              <w:spacing w:before="0" w:after="0" w:line="240" w:lineRule="exact"/>
              <w:jc w:val="right"/>
              <w:rPr>
                <w:rFonts w:ascii="宋体" w:hAnsi="宋体" w:eastAsia="宋体" w:cs="宋体"/>
                <w:color w:val="auto"/>
                <w:sz w:val="18"/>
                <w:szCs w:val="18"/>
              </w:rPr>
            </w:pPr>
          </w:p>
        </w:tc>
      </w:tr>
      <w:tr w14:paraId="4861D3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0C0DE1">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71C9AB4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1,392,198.76</w:t>
            </w:r>
          </w:p>
        </w:tc>
        <w:tc>
          <w:tcPr>
            <w:tcW w:w="3213" w:type="dxa"/>
            <w:tcBorders>
              <w:top w:val="single" w:color="auto" w:sz="2" w:space="0"/>
              <w:left w:val="single" w:color="auto" w:sz="2" w:space="0"/>
              <w:bottom w:val="single" w:color="auto" w:sz="2" w:space="0"/>
              <w:right w:val="single" w:color="auto" w:sz="2" w:space="0"/>
            </w:tcBorders>
            <w:vAlign w:val="center"/>
          </w:tcPr>
          <w:p w14:paraId="109D4C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4,287,785.99</w:t>
            </w:r>
          </w:p>
        </w:tc>
      </w:tr>
      <w:tr w14:paraId="703F2D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2E1B88">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14:paraId="298D074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C413EE">
            <w:pPr>
              <w:spacing w:before="0" w:after="0" w:line="240" w:lineRule="exact"/>
              <w:jc w:val="right"/>
              <w:rPr>
                <w:rFonts w:ascii="宋体" w:hAnsi="宋体" w:eastAsia="宋体" w:cs="宋体"/>
                <w:color w:val="auto"/>
                <w:sz w:val="18"/>
                <w:szCs w:val="18"/>
              </w:rPr>
            </w:pPr>
          </w:p>
        </w:tc>
      </w:tr>
      <w:tr w14:paraId="5A9D2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239DE7">
            <w:pPr>
              <w:spacing w:before="40" w:after="4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14:paraId="683B06C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F6DAE3">
            <w:pPr>
              <w:spacing w:before="0" w:after="0" w:line="240" w:lineRule="exact"/>
              <w:jc w:val="right"/>
              <w:rPr>
                <w:rFonts w:ascii="宋体" w:hAnsi="宋体" w:eastAsia="宋体" w:cs="宋体"/>
                <w:color w:val="auto"/>
                <w:sz w:val="18"/>
                <w:szCs w:val="18"/>
              </w:rPr>
            </w:pPr>
          </w:p>
        </w:tc>
      </w:tr>
      <w:tr w14:paraId="34EB1C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873F3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买入返售金融资产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2F548E1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E187394">
            <w:pPr>
              <w:spacing w:before="0" w:after="0" w:line="240" w:lineRule="exact"/>
              <w:jc w:val="right"/>
              <w:rPr>
                <w:rFonts w:ascii="宋体" w:hAnsi="宋体" w:eastAsia="宋体" w:cs="宋体"/>
                <w:color w:val="auto"/>
                <w:sz w:val="18"/>
                <w:szCs w:val="18"/>
              </w:rPr>
            </w:pPr>
          </w:p>
        </w:tc>
      </w:tr>
      <w:tr w14:paraId="3D02AD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A53E66">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0BB85D3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147,100,235.83</w:t>
            </w:r>
          </w:p>
        </w:tc>
        <w:tc>
          <w:tcPr>
            <w:tcW w:w="3213" w:type="dxa"/>
            <w:tcBorders>
              <w:top w:val="single" w:color="auto" w:sz="2" w:space="0"/>
              <w:left w:val="single" w:color="auto" w:sz="2" w:space="0"/>
              <w:bottom w:val="single" w:color="auto" w:sz="2" w:space="0"/>
              <w:right w:val="single" w:color="auto" w:sz="2" w:space="0"/>
            </w:tcBorders>
            <w:vAlign w:val="center"/>
          </w:tcPr>
          <w:p w14:paraId="14434C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114,475,159.49</w:t>
            </w:r>
          </w:p>
        </w:tc>
      </w:tr>
      <w:tr w14:paraId="0E7CB4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28A200">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6210858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21180A1">
            <w:pPr>
              <w:spacing w:before="0" w:after="0" w:line="240" w:lineRule="exact"/>
              <w:jc w:val="right"/>
              <w:rPr>
                <w:rFonts w:ascii="宋体" w:hAnsi="宋体" w:eastAsia="宋体" w:cs="宋体"/>
                <w:color w:val="auto"/>
                <w:sz w:val="18"/>
                <w:szCs w:val="18"/>
              </w:rPr>
            </w:pPr>
          </w:p>
        </w:tc>
      </w:tr>
      <w:tr w14:paraId="0A1E05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50F72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14:paraId="4F36917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DBA02F">
            <w:pPr>
              <w:spacing w:before="0" w:after="0" w:line="240" w:lineRule="exact"/>
              <w:jc w:val="right"/>
              <w:rPr>
                <w:rFonts w:ascii="宋体" w:hAnsi="宋体" w:eastAsia="宋体" w:cs="宋体"/>
                <w:color w:val="auto"/>
                <w:sz w:val="18"/>
                <w:szCs w:val="18"/>
              </w:rPr>
            </w:pPr>
          </w:p>
        </w:tc>
      </w:tr>
      <w:tr w14:paraId="1A538B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0AE16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14:paraId="72C38EB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E276597">
            <w:pPr>
              <w:spacing w:before="0" w:after="0" w:line="240" w:lineRule="exact"/>
              <w:jc w:val="right"/>
              <w:rPr>
                <w:rFonts w:ascii="宋体" w:hAnsi="宋体" w:eastAsia="宋体" w:cs="宋体"/>
                <w:color w:val="auto"/>
                <w:sz w:val="18"/>
                <w:szCs w:val="18"/>
              </w:rPr>
            </w:pPr>
          </w:p>
        </w:tc>
      </w:tr>
      <w:tr w14:paraId="576874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88858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75A1CA9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51C5A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128,301.77</w:t>
            </w:r>
          </w:p>
        </w:tc>
      </w:tr>
      <w:tr w14:paraId="5D1019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B4915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55DD6AF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59,959,039.79</w:t>
            </w:r>
          </w:p>
        </w:tc>
        <w:tc>
          <w:tcPr>
            <w:tcW w:w="3213" w:type="dxa"/>
            <w:tcBorders>
              <w:top w:val="single" w:color="auto" w:sz="2" w:space="0"/>
              <w:left w:val="single" w:color="auto" w:sz="2" w:space="0"/>
              <w:bottom w:val="single" w:color="auto" w:sz="2" w:space="0"/>
              <w:right w:val="single" w:color="auto" w:sz="2" w:space="0"/>
            </w:tcBorders>
            <w:vAlign w:val="center"/>
          </w:tcPr>
          <w:p w14:paraId="3B336C8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59,665,112.63</w:t>
            </w:r>
          </w:p>
        </w:tc>
      </w:tr>
      <w:tr w14:paraId="258441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11699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34E7A3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381,644,709.72</w:t>
            </w:r>
          </w:p>
        </w:tc>
        <w:tc>
          <w:tcPr>
            <w:tcW w:w="3213" w:type="dxa"/>
            <w:tcBorders>
              <w:top w:val="single" w:color="auto" w:sz="2" w:space="0"/>
              <w:left w:val="single" w:color="auto" w:sz="2" w:space="0"/>
              <w:bottom w:val="single" w:color="auto" w:sz="2" w:space="0"/>
              <w:right w:val="single" w:color="auto" w:sz="2" w:space="0"/>
            </w:tcBorders>
            <w:vAlign w:val="center"/>
          </w:tcPr>
          <w:p w14:paraId="1A510AD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407,299,897.31</w:t>
            </w:r>
          </w:p>
        </w:tc>
      </w:tr>
      <w:tr w14:paraId="1DEDAB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95F04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0D9331">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409F81">
            <w:pPr>
              <w:rPr>
                <w:color w:val="auto"/>
              </w:rPr>
            </w:pPr>
          </w:p>
        </w:tc>
      </w:tr>
      <w:tr w14:paraId="21D493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717F69">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发放贷款和垫款</w:t>
            </w:r>
          </w:p>
        </w:tc>
        <w:tc>
          <w:tcPr>
            <w:tcW w:w="3213" w:type="dxa"/>
            <w:tcBorders>
              <w:top w:val="single" w:color="auto" w:sz="2" w:space="0"/>
              <w:left w:val="single" w:color="auto" w:sz="2" w:space="0"/>
              <w:bottom w:val="single" w:color="auto" w:sz="2" w:space="0"/>
              <w:right w:val="single" w:color="auto" w:sz="2" w:space="0"/>
            </w:tcBorders>
            <w:vAlign w:val="center"/>
          </w:tcPr>
          <w:p w14:paraId="4B33E28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280BDA2">
            <w:pPr>
              <w:spacing w:before="0" w:after="0" w:line="240" w:lineRule="exact"/>
              <w:jc w:val="right"/>
              <w:rPr>
                <w:rFonts w:ascii="宋体" w:hAnsi="宋体" w:eastAsia="宋体" w:cs="宋体"/>
                <w:color w:val="auto"/>
                <w:sz w:val="18"/>
                <w:szCs w:val="18"/>
              </w:rPr>
            </w:pPr>
          </w:p>
        </w:tc>
      </w:tr>
      <w:tr w14:paraId="632E86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752A6D">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5008543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D736DA">
            <w:pPr>
              <w:spacing w:before="0" w:after="0" w:line="240" w:lineRule="exact"/>
              <w:jc w:val="right"/>
              <w:rPr>
                <w:rFonts w:ascii="宋体" w:hAnsi="宋体" w:eastAsia="宋体" w:cs="宋体"/>
                <w:color w:val="auto"/>
                <w:sz w:val="18"/>
                <w:szCs w:val="18"/>
              </w:rPr>
            </w:pPr>
          </w:p>
        </w:tc>
      </w:tr>
      <w:tr w14:paraId="1E0316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E1FDC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70E8FFF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103167E">
            <w:pPr>
              <w:spacing w:before="0" w:after="0" w:line="240" w:lineRule="exact"/>
              <w:jc w:val="right"/>
              <w:rPr>
                <w:rFonts w:ascii="宋体" w:hAnsi="宋体" w:eastAsia="宋体" w:cs="宋体"/>
                <w:color w:val="auto"/>
                <w:sz w:val="18"/>
                <w:szCs w:val="18"/>
              </w:rPr>
            </w:pPr>
          </w:p>
        </w:tc>
      </w:tr>
      <w:tr w14:paraId="414E9A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97A63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22EF787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72D148F">
            <w:pPr>
              <w:spacing w:before="0" w:after="0" w:line="240" w:lineRule="exact"/>
              <w:jc w:val="right"/>
              <w:rPr>
                <w:rFonts w:ascii="宋体" w:hAnsi="宋体" w:eastAsia="宋体" w:cs="宋体"/>
                <w:color w:val="auto"/>
                <w:sz w:val="18"/>
                <w:szCs w:val="18"/>
              </w:rPr>
            </w:pPr>
          </w:p>
        </w:tc>
      </w:tr>
      <w:tr w14:paraId="25145F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09D02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14:paraId="67A287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79,787,878.31</w:t>
            </w:r>
          </w:p>
        </w:tc>
        <w:tc>
          <w:tcPr>
            <w:tcW w:w="3213" w:type="dxa"/>
            <w:tcBorders>
              <w:top w:val="single" w:color="auto" w:sz="2" w:space="0"/>
              <w:left w:val="single" w:color="auto" w:sz="2" w:space="0"/>
              <w:bottom w:val="single" w:color="auto" w:sz="2" w:space="0"/>
              <w:right w:val="single" w:color="auto" w:sz="2" w:space="0"/>
            </w:tcBorders>
            <w:vAlign w:val="center"/>
          </w:tcPr>
          <w:p w14:paraId="2B0B17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80,177,607.81</w:t>
            </w:r>
          </w:p>
        </w:tc>
      </w:tr>
      <w:tr w14:paraId="5434F9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554C6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14:paraId="63E1232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3C678C">
            <w:pPr>
              <w:spacing w:before="0" w:after="0" w:line="240" w:lineRule="exact"/>
              <w:jc w:val="right"/>
              <w:rPr>
                <w:rFonts w:ascii="宋体" w:hAnsi="宋体" w:eastAsia="宋体" w:cs="宋体"/>
                <w:color w:val="auto"/>
                <w:sz w:val="18"/>
                <w:szCs w:val="18"/>
              </w:rPr>
            </w:pPr>
          </w:p>
        </w:tc>
      </w:tr>
      <w:tr w14:paraId="611395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D5C5A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68D4632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6BF6962">
            <w:pPr>
              <w:spacing w:before="0" w:after="0" w:line="240" w:lineRule="exact"/>
              <w:jc w:val="right"/>
              <w:rPr>
                <w:rFonts w:ascii="宋体" w:hAnsi="宋体" w:eastAsia="宋体" w:cs="宋体"/>
                <w:color w:val="auto"/>
                <w:sz w:val="18"/>
                <w:szCs w:val="18"/>
              </w:rPr>
            </w:pPr>
          </w:p>
        </w:tc>
      </w:tr>
      <w:tr w14:paraId="6C2EA3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9120E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14:paraId="03301E1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883AF13">
            <w:pPr>
              <w:spacing w:before="0" w:after="0" w:line="240" w:lineRule="exact"/>
              <w:jc w:val="right"/>
              <w:rPr>
                <w:rFonts w:ascii="宋体" w:hAnsi="宋体" w:eastAsia="宋体" w:cs="宋体"/>
                <w:color w:val="auto"/>
                <w:sz w:val="18"/>
                <w:szCs w:val="18"/>
              </w:rPr>
            </w:pPr>
          </w:p>
        </w:tc>
      </w:tr>
      <w:tr w14:paraId="4B5394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53A0A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56FBDD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538,636,873.39</w:t>
            </w:r>
          </w:p>
        </w:tc>
        <w:tc>
          <w:tcPr>
            <w:tcW w:w="3213" w:type="dxa"/>
            <w:tcBorders>
              <w:top w:val="single" w:color="auto" w:sz="2" w:space="0"/>
              <w:left w:val="single" w:color="auto" w:sz="2" w:space="0"/>
              <w:bottom w:val="single" w:color="auto" w:sz="2" w:space="0"/>
              <w:right w:val="single" w:color="auto" w:sz="2" w:space="0"/>
            </w:tcBorders>
            <w:vAlign w:val="center"/>
          </w:tcPr>
          <w:p w14:paraId="587ECE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558,261,569.72</w:t>
            </w:r>
          </w:p>
        </w:tc>
      </w:tr>
      <w:tr w14:paraId="64EBC7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D9CDF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6213D7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23,405,870.17</w:t>
            </w:r>
          </w:p>
        </w:tc>
        <w:tc>
          <w:tcPr>
            <w:tcW w:w="3213" w:type="dxa"/>
            <w:tcBorders>
              <w:top w:val="single" w:color="auto" w:sz="2" w:space="0"/>
              <w:left w:val="single" w:color="auto" w:sz="2" w:space="0"/>
              <w:bottom w:val="single" w:color="auto" w:sz="2" w:space="0"/>
              <w:right w:val="single" w:color="auto" w:sz="2" w:space="0"/>
            </w:tcBorders>
            <w:vAlign w:val="center"/>
          </w:tcPr>
          <w:p w14:paraId="1760F25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29,763,197.65</w:t>
            </w:r>
          </w:p>
        </w:tc>
      </w:tr>
      <w:tr w14:paraId="4578F2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A6BED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14:paraId="6ADEB99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A2A558C">
            <w:pPr>
              <w:spacing w:before="0" w:after="0" w:line="240" w:lineRule="exact"/>
              <w:jc w:val="right"/>
              <w:rPr>
                <w:rFonts w:ascii="宋体" w:hAnsi="宋体" w:eastAsia="宋体" w:cs="宋体"/>
                <w:color w:val="auto"/>
                <w:sz w:val="18"/>
                <w:szCs w:val="18"/>
              </w:rPr>
            </w:pPr>
          </w:p>
        </w:tc>
      </w:tr>
      <w:tr w14:paraId="70E983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E53FC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14:paraId="1C48F91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5A1F38F">
            <w:pPr>
              <w:spacing w:before="0" w:after="0" w:line="240" w:lineRule="exact"/>
              <w:jc w:val="right"/>
              <w:rPr>
                <w:rFonts w:ascii="宋体" w:hAnsi="宋体" w:eastAsia="宋体" w:cs="宋体"/>
                <w:color w:val="auto"/>
                <w:sz w:val="18"/>
                <w:szCs w:val="18"/>
              </w:rPr>
            </w:pPr>
          </w:p>
        </w:tc>
      </w:tr>
      <w:tr w14:paraId="04620E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4EE002">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14:paraId="0441179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157,069.36</w:t>
            </w:r>
          </w:p>
        </w:tc>
        <w:tc>
          <w:tcPr>
            <w:tcW w:w="3213" w:type="dxa"/>
            <w:tcBorders>
              <w:top w:val="single" w:color="auto" w:sz="2" w:space="0"/>
              <w:left w:val="single" w:color="auto" w:sz="2" w:space="0"/>
              <w:bottom w:val="single" w:color="auto" w:sz="2" w:space="0"/>
              <w:right w:val="single" w:color="auto" w:sz="2" w:space="0"/>
            </w:tcBorders>
            <w:vAlign w:val="center"/>
          </w:tcPr>
          <w:p w14:paraId="6ACF255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370,756.19</w:t>
            </w:r>
          </w:p>
        </w:tc>
      </w:tr>
      <w:tr w14:paraId="1AB330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CE5246">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346297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236,043,488.41</w:t>
            </w:r>
          </w:p>
        </w:tc>
        <w:tc>
          <w:tcPr>
            <w:tcW w:w="3213" w:type="dxa"/>
            <w:tcBorders>
              <w:top w:val="single" w:color="auto" w:sz="2" w:space="0"/>
              <w:left w:val="single" w:color="auto" w:sz="2" w:space="0"/>
              <w:bottom w:val="single" w:color="auto" w:sz="2" w:space="0"/>
              <w:right w:val="single" w:color="auto" w:sz="2" w:space="0"/>
            </w:tcBorders>
            <w:vAlign w:val="center"/>
          </w:tcPr>
          <w:p w14:paraId="1FEDBF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251,655,214.92</w:t>
            </w:r>
          </w:p>
        </w:tc>
      </w:tr>
      <w:tr w14:paraId="4E9BEF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49A6CE">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2E824F7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6DF425">
            <w:pPr>
              <w:spacing w:before="0" w:after="0" w:line="240" w:lineRule="exact"/>
              <w:jc w:val="right"/>
              <w:rPr>
                <w:rFonts w:ascii="宋体" w:hAnsi="宋体" w:eastAsia="宋体" w:cs="宋体"/>
                <w:color w:val="auto"/>
                <w:sz w:val="18"/>
                <w:szCs w:val="18"/>
              </w:rPr>
            </w:pPr>
          </w:p>
        </w:tc>
      </w:tr>
      <w:tr w14:paraId="661BB1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BF1D3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14:paraId="4E1681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1,114,315.11</w:t>
            </w:r>
          </w:p>
        </w:tc>
        <w:tc>
          <w:tcPr>
            <w:tcW w:w="3213" w:type="dxa"/>
            <w:tcBorders>
              <w:top w:val="single" w:color="auto" w:sz="2" w:space="0"/>
              <w:left w:val="single" w:color="auto" w:sz="2" w:space="0"/>
              <w:bottom w:val="single" w:color="auto" w:sz="2" w:space="0"/>
              <w:right w:val="single" w:color="auto" w:sz="2" w:space="0"/>
            </w:tcBorders>
            <w:vAlign w:val="center"/>
          </w:tcPr>
          <w:p w14:paraId="16028C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5,838,485.17</w:t>
            </w:r>
          </w:p>
        </w:tc>
      </w:tr>
      <w:tr w14:paraId="765F8D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B95424">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16397E6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D77281E">
            <w:pPr>
              <w:spacing w:before="0" w:after="0" w:line="240" w:lineRule="exact"/>
              <w:jc w:val="right"/>
              <w:rPr>
                <w:rFonts w:ascii="宋体" w:hAnsi="宋体" w:eastAsia="宋体" w:cs="宋体"/>
                <w:color w:val="auto"/>
                <w:sz w:val="18"/>
                <w:szCs w:val="18"/>
              </w:rPr>
            </w:pPr>
          </w:p>
        </w:tc>
      </w:tr>
      <w:tr w14:paraId="13267C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8A1B59">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566304C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58,968,390.42</w:t>
            </w:r>
          </w:p>
        </w:tc>
        <w:tc>
          <w:tcPr>
            <w:tcW w:w="3213" w:type="dxa"/>
            <w:tcBorders>
              <w:top w:val="single" w:color="auto" w:sz="2" w:space="0"/>
              <w:left w:val="single" w:color="auto" w:sz="2" w:space="0"/>
              <w:bottom w:val="single" w:color="auto" w:sz="2" w:space="0"/>
              <w:right w:val="single" w:color="auto" w:sz="2" w:space="0"/>
            </w:tcBorders>
            <w:vAlign w:val="center"/>
          </w:tcPr>
          <w:p w14:paraId="5122D0F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58,968,390.42</w:t>
            </w:r>
          </w:p>
        </w:tc>
      </w:tr>
      <w:tr w14:paraId="1AF075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55FA3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02E712A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34,693,356.63</w:t>
            </w:r>
          </w:p>
        </w:tc>
        <w:tc>
          <w:tcPr>
            <w:tcW w:w="3213" w:type="dxa"/>
            <w:tcBorders>
              <w:top w:val="single" w:color="auto" w:sz="2" w:space="0"/>
              <w:left w:val="single" w:color="auto" w:sz="2" w:space="0"/>
              <w:bottom w:val="single" w:color="auto" w:sz="2" w:space="0"/>
              <w:right w:val="single" w:color="auto" w:sz="2" w:space="0"/>
            </w:tcBorders>
            <w:vAlign w:val="center"/>
          </w:tcPr>
          <w:p w14:paraId="5583B7E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36,942,402.58</w:t>
            </w:r>
          </w:p>
        </w:tc>
      </w:tr>
      <w:tr w14:paraId="6A7834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6FD281">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14:paraId="728C48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1,359,447.88</w:t>
            </w:r>
          </w:p>
        </w:tc>
        <w:tc>
          <w:tcPr>
            <w:tcW w:w="3213" w:type="dxa"/>
            <w:tcBorders>
              <w:top w:val="single" w:color="auto" w:sz="2" w:space="0"/>
              <w:left w:val="single" w:color="auto" w:sz="2" w:space="0"/>
              <w:bottom w:val="single" w:color="auto" w:sz="2" w:space="0"/>
              <w:right w:val="single" w:color="auto" w:sz="2" w:space="0"/>
            </w:tcBorders>
            <w:vAlign w:val="center"/>
          </w:tcPr>
          <w:p w14:paraId="78D837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1,468,235.58</w:t>
            </w:r>
          </w:p>
        </w:tc>
      </w:tr>
      <w:tr w14:paraId="1F7DFC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07426B">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115281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9,343,859.14</w:t>
            </w:r>
          </w:p>
        </w:tc>
        <w:tc>
          <w:tcPr>
            <w:tcW w:w="3213" w:type="dxa"/>
            <w:tcBorders>
              <w:top w:val="single" w:color="auto" w:sz="2" w:space="0"/>
              <w:left w:val="single" w:color="auto" w:sz="2" w:space="0"/>
              <w:bottom w:val="single" w:color="auto" w:sz="2" w:space="0"/>
              <w:right w:val="single" w:color="auto" w:sz="2" w:space="0"/>
            </w:tcBorders>
            <w:vAlign w:val="center"/>
          </w:tcPr>
          <w:p w14:paraId="72353F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8,062,198.72</w:t>
            </w:r>
          </w:p>
        </w:tc>
      </w:tr>
      <w:tr w14:paraId="39B9D6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C8B41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66AB542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983,510,548.82</w:t>
            </w:r>
          </w:p>
        </w:tc>
        <w:tc>
          <w:tcPr>
            <w:tcW w:w="3213" w:type="dxa"/>
            <w:tcBorders>
              <w:top w:val="single" w:color="auto" w:sz="2" w:space="0"/>
              <w:left w:val="single" w:color="auto" w:sz="2" w:space="0"/>
              <w:bottom w:val="single" w:color="auto" w:sz="2" w:space="0"/>
              <w:right w:val="single" w:color="auto" w:sz="2" w:space="0"/>
            </w:tcBorders>
            <w:vAlign w:val="center"/>
          </w:tcPr>
          <w:p w14:paraId="61BF55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1,031,508,058.76</w:t>
            </w:r>
          </w:p>
        </w:tc>
      </w:tr>
      <w:tr w14:paraId="741EAA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CC7DE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14:paraId="6EA0C8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1,365,155,258.54</w:t>
            </w:r>
          </w:p>
        </w:tc>
        <w:tc>
          <w:tcPr>
            <w:tcW w:w="3213" w:type="dxa"/>
            <w:tcBorders>
              <w:top w:val="single" w:color="auto" w:sz="2" w:space="0"/>
              <w:left w:val="single" w:color="auto" w:sz="2" w:space="0"/>
              <w:bottom w:val="single" w:color="auto" w:sz="2" w:space="0"/>
              <w:right w:val="single" w:color="auto" w:sz="2" w:space="0"/>
            </w:tcBorders>
            <w:vAlign w:val="center"/>
          </w:tcPr>
          <w:p w14:paraId="65194A9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1,438,807,956.07</w:t>
            </w:r>
          </w:p>
        </w:tc>
      </w:tr>
      <w:tr w14:paraId="610FAE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EFC03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619A91">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27EF7D">
            <w:pPr>
              <w:rPr>
                <w:color w:val="auto"/>
              </w:rPr>
            </w:pPr>
          </w:p>
        </w:tc>
      </w:tr>
      <w:tr w14:paraId="0BDBE9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D5F0D7">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14:paraId="797B74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153,021,399.03</w:t>
            </w:r>
          </w:p>
        </w:tc>
        <w:tc>
          <w:tcPr>
            <w:tcW w:w="3213" w:type="dxa"/>
            <w:tcBorders>
              <w:top w:val="single" w:color="auto" w:sz="2" w:space="0"/>
              <w:left w:val="single" w:color="auto" w:sz="2" w:space="0"/>
              <w:bottom w:val="single" w:color="auto" w:sz="2" w:space="0"/>
              <w:right w:val="single" w:color="auto" w:sz="2" w:space="0"/>
            </w:tcBorders>
            <w:vAlign w:val="center"/>
          </w:tcPr>
          <w:p w14:paraId="301E9CC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182,177,991.66</w:t>
            </w:r>
          </w:p>
        </w:tc>
      </w:tr>
      <w:tr w14:paraId="504EB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2BAD2D">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向中央银行借款</w:t>
            </w:r>
          </w:p>
        </w:tc>
        <w:tc>
          <w:tcPr>
            <w:tcW w:w="3213" w:type="dxa"/>
            <w:tcBorders>
              <w:top w:val="single" w:color="auto" w:sz="2" w:space="0"/>
              <w:left w:val="single" w:color="auto" w:sz="2" w:space="0"/>
              <w:bottom w:val="single" w:color="auto" w:sz="2" w:space="0"/>
              <w:right w:val="single" w:color="auto" w:sz="2" w:space="0"/>
            </w:tcBorders>
            <w:vAlign w:val="center"/>
          </w:tcPr>
          <w:p w14:paraId="430F9F2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F4D9B16">
            <w:pPr>
              <w:spacing w:before="0" w:after="0" w:line="240" w:lineRule="exact"/>
              <w:jc w:val="right"/>
              <w:rPr>
                <w:rFonts w:ascii="宋体" w:hAnsi="宋体" w:eastAsia="宋体" w:cs="宋体"/>
                <w:color w:val="auto"/>
                <w:sz w:val="18"/>
                <w:szCs w:val="18"/>
              </w:rPr>
            </w:pPr>
          </w:p>
        </w:tc>
      </w:tr>
      <w:tr w14:paraId="48701A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7BE936">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拆入资金</w:t>
            </w:r>
          </w:p>
        </w:tc>
        <w:tc>
          <w:tcPr>
            <w:tcW w:w="3213" w:type="dxa"/>
            <w:tcBorders>
              <w:top w:val="single" w:color="auto" w:sz="2" w:space="0"/>
              <w:left w:val="single" w:color="auto" w:sz="2" w:space="0"/>
              <w:bottom w:val="single" w:color="auto" w:sz="2" w:space="0"/>
              <w:right w:val="single" w:color="auto" w:sz="2" w:space="0"/>
            </w:tcBorders>
            <w:vAlign w:val="center"/>
          </w:tcPr>
          <w:p w14:paraId="1431F89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D4F675">
            <w:pPr>
              <w:spacing w:before="0" w:after="0" w:line="240" w:lineRule="exact"/>
              <w:jc w:val="right"/>
              <w:rPr>
                <w:rFonts w:ascii="宋体" w:hAnsi="宋体" w:eastAsia="宋体" w:cs="宋体"/>
                <w:color w:val="auto"/>
                <w:sz w:val="18"/>
                <w:szCs w:val="18"/>
              </w:rPr>
            </w:pPr>
          </w:p>
        </w:tc>
      </w:tr>
      <w:tr w14:paraId="689C19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7AE59B">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731554C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53C8E7A">
            <w:pPr>
              <w:spacing w:before="0" w:after="0" w:line="240" w:lineRule="exact"/>
              <w:jc w:val="right"/>
              <w:rPr>
                <w:rFonts w:ascii="宋体" w:hAnsi="宋体" w:eastAsia="宋体" w:cs="宋体"/>
                <w:color w:val="auto"/>
                <w:sz w:val="18"/>
                <w:szCs w:val="18"/>
              </w:rPr>
            </w:pPr>
          </w:p>
        </w:tc>
      </w:tr>
      <w:tr w14:paraId="7007F1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6DD6B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528063D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E54064C">
            <w:pPr>
              <w:spacing w:before="0" w:after="0" w:line="240" w:lineRule="exact"/>
              <w:jc w:val="right"/>
              <w:rPr>
                <w:rFonts w:ascii="宋体" w:hAnsi="宋体" w:eastAsia="宋体" w:cs="宋体"/>
                <w:color w:val="auto"/>
                <w:sz w:val="18"/>
                <w:szCs w:val="18"/>
              </w:rPr>
            </w:pPr>
          </w:p>
        </w:tc>
      </w:tr>
      <w:tr w14:paraId="3B6425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9C338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14:paraId="25F93B0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E875A7">
            <w:pPr>
              <w:spacing w:before="0" w:after="0" w:line="240" w:lineRule="exact"/>
              <w:jc w:val="right"/>
              <w:rPr>
                <w:rFonts w:ascii="宋体" w:hAnsi="宋体" w:eastAsia="宋体" w:cs="宋体"/>
                <w:color w:val="auto"/>
                <w:sz w:val="18"/>
                <w:szCs w:val="18"/>
              </w:rPr>
            </w:pPr>
          </w:p>
        </w:tc>
      </w:tr>
      <w:tr w14:paraId="29F33C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68850D">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14:paraId="210494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221,856,932.03</w:t>
            </w:r>
          </w:p>
        </w:tc>
        <w:tc>
          <w:tcPr>
            <w:tcW w:w="3213" w:type="dxa"/>
            <w:tcBorders>
              <w:top w:val="single" w:color="auto" w:sz="2" w:space="0"/>
              <w:left w:val="single" w:color="auto" w:sz="2" w:space="0"/>
              <w:bottom w:val="single" w:color="auto" w:sz="2" w:space="0"/>
              <w:right w:val="single" w:color="auto" w:sz="2" w:space="0"/>
            </w:tcBorders>
            <w:vAlign w:val="center"/>
          </w:tcPr>
          <w:p w14:paraId="492A9E9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213,840,036.80</w:t>
            </w:r>
          </w:p>
        </w:tc>
      </w:tr>
      <w:tr w14:paraId="52F0F4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54713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14:paraId="1E5C083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3,853.22</w:t>
            </w:r>
          </w:p>
        </w:tc>
        <w:tc>
          <w:tcPr>
            <w:tcW w:w="3213" w:type="dxa"/>
            <w:tcBorders>
              <w:top w:val="single" w:color="auto" w:sz="2" w:space="0"/>
              <w:left w:val="single" w:color="auto" w:sz="2" w:space="0"/>
              <w:bottom w:val="single" w:color="auto" w:sz="2" w:space="0"/>
              <w:right w:val="single" w:color="auto" w:sz="2" w:space="0"/>
            </w:tcBorders>
            <w:vAlign w:val="center"/>
          </w:tcPr>
          <w:p w14:paraId="6273F6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5,779.82</w:t>
            </w:r>
          </w:p>
        </w:tc>
      </w:tr>
      <w:tr w14:paraId="7880C8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D194E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31D5AB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5,424,274.65</w:t>
            </w:r>
          </w:p>
        </w:tc>
        <w:tc>
          <w:tcPr>
            <w:tcW w:w="3213" w:type="dxa"/>
            <w:tcBorders>
              <w:top w:val="single" w:color="auto" w:sz="2" w:space="0"/>
              <w:left w:val="single" w:color="auto" w:sz="2" w:space="0"/>
              <w:bottom w:val="single" w:color="auto" w:sz="2" w:space="0"/>
              <w:right w:val="single" w:color="auto" w:sz="2" w:space="0"/>
            </w:tcBorders>
            <w:vAlign w:val="center"/>
          </w:tcPr>
          <w:p w14:paraId="57C67B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3,566,027.15</w:t>
            </w:r>
          </w:p>
        </w:tc>
      </w:tr>
      <w:tr w14:paraId="793B8C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4F7B41">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卖出回购金融资产款</w:t>
            </w:r>
          </w:p>
        </w:tc>
        <w:tc>
          <w:tcPr>
            <w:tcW w:w="3213" w:type="dxa"/>
            <w:tcBorders>
              <w:top w:val="single" w:color="auto" w:sz="2" w:space="0"/>
              <w:left w:val="single" w:color="auto" w:sz="2" w:space="0"/>
              <w:bottom w:val="single" w:color="auto" w:sz="2" w:space="0"/>
              <w:right w:val="single" w:color="auto" w:sz="2" w:space="0"/>
            </w:tcBorders>
            <w:vAlign w:val="center"/>
          </w:tcPr>
          <w:p w14:paraId="66A08FE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7EB4458">
            <w:pPr>
              <w:spacing w:before="0" w:after="0" w:line="240" w:lineRule="exact"/>
              <w:jc w:val="right"/>
              <w:rPr>
                <w:rFonts w:ascii="宋体" w:hAnsi="宋体" w:eastAsia="宋体" w:cs="宋体"/>
                <w:color w:val="auto"/>
                <w:sz w:val="18"/>
                <w:szCs w:val="18"/>
              </w:rPr>
            </w:pPr>
          </w:p>
        </w:tc>
      </w:tr>
      <w:tr w14:paraId="27E720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D4695A">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吸收存款及同业存放</w:t>
            </w:r>
          </w:p>
        </w:tc>
        <w:tc>
          <w:tcPr>
            <w:tcW w:w="3213" w:type="dxa"/>
            <w:tcBorders>
              <w:top w:val="single" w:color="auto" w:sz="2" w:space="0"/>
              <w:left w:val="single" w:color="auto" w:sz="2" w:space="0"/>
              <w:bottom w:val="single" w:color="auto" w:sz="2" w:space="0"/>
              <w:right w:val="single" w:color="auto" w:sz="2" w:space="0"/>
            </w:tcBorders>
            <w:vAlign w:val="center"/>
          </w:tcPr>
          <w:p w14:paraId="3CFD6E47">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00C4FFC">
            <w:pPr>
              <w:spacing w:before="0" w:after="0" w:line="240" w:lineRule="exact"/>
              <w:jc w:val="right"/>
              <w:rPr>
                <w:rFonts w:ascii="宋体" w:hAnsi="宋体" w:eastAsia="宋体" w:cs="宋体"/>
                <w:color w:val="auto"/>
                <w:sz w:val="18"/>
                <w:szCs w:val="18"/>
              </w:rPr>
            </w:pPr>
          </w:p>
        </w:tc>
      </w:tr>
      <w:tr w14:paraId="173FF4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EE9FF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代理买卖证券款</w:t>
            </w:r>
          </w:p>
        </w:tc>
        <w:tc>
          <w:tcPr>
            <w:tcW w:w="3213" w:type="dxa"/>
            <w:tcBorders>
              <w:top w:val="single" w:color="auto" w:sz="2" w:space="0"/>
              <w:left w:val="single" w:color="auto" w:sz="2" w:space="0"/>
              <w:bottom w:val="single" w:color="auto" w:sz="2" w:space="0"/>
              <w:right w:val="single" w:color="auto" w:sz="2" w:space="0"/>
            </w:tcBorders>
            <w:vAlign w:val="center"/>
          </w:tcPr>
          <w:p w14:paraId="706B255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A15B97">
            <w:pPr>
              <w:spacing w:before="0" w:after="0" w:line="240" w:lineRule="exact"/>
              <w:jc w:val="right"/>
              <w:rPr>
                <w:rFonts w:ascii="宋体" w:hAnsi="宋体" w:eastAsia="宋体" w:cs="宋体"/>
                <w:color w:val="auto"/>
                <w:sz w:val="18"/>
                <w:szCs w:val="18"/>
              </w:rPr>
            </w:pPr>
          </w:p>
        </w:tc>
      </w:tr>
      <w:tr w14:paraId="34E08A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0EA11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代理承销证券款</w:t>
            </w:r>
          </w:p>
        </w:tc>
        <w:tc>
          <w:tcPr>
            <w:tcW w:w="3213" w:type="dxa"/>
            <w:tcBorders>
              <w:top w:val="single" w:color="auto" w:sz="2" w:space="0"/>
              <w:left w:val="single" w:color="auto" w:sz="2" w:space="0"/>
              <w:bottom w:val="single" w:color="auto" w:sz="2" w:space="0"/>
              <w:right w:val="single" w:color="auto" w:sz="2" w:space="0"/>
            </w:tcBorders>
            <w:vAlign w:val="center"/>
          </w:tcPr>
          <w:p w14:paraId="19E83207">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E7E9384">
            <w:pPr>
              <w:spacing w:before="0" w:after="0" w:line="240" w:lineRule="exact"/>
              <w:jc w:val="right"/>
              <w:rPr>
                <w:rFonts w:ascii="宋体" w:hAnsi="宋体" w:eastAsia="宋体" w:cs="宋体"/>
                <w:color w:val="auto"/>
                <w:sz w:val="18"/>
                <w:szCs w:val="18"/>
              </w:rPr>
            </w:pPr>
          </w:p>
        </w:tc>
      </w:tr>
      <w:tr w14:paraId="77D0DC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FF9DE6">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740003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7,883,545.00</w:t>
            </w:r>
          </w:p>
        </w:tc>
        <w:tc>
          <w:tcPr>
            <w:tcW w:w="3213" w:type="dxa"/>
            <w:tcBorders>
              <w:top w:val="single" w:color="auto" w:sz="2" w:space="0"/>
              <w:left w:val="single" w:color="auto" w:sz="2" w:space="0"/>
              <w:bottom w:val="single" w:color="auto" w:sz="2" w:space="0"/>
              <w:right w:val="single" w:color="auto" w:sz="2" w:space="0"/>
            </w:tcBorders>
            <w:vAlign w:val="center"/>
          </w:tcPr>
          <w:p w14:paraId="138CEB0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11,671,827.83</w:t>
            </w:r>
          </w:p>
        </w:tc>
      </w:tr>
      <w:tr w14:paraId="25F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B080BB">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14:paraId="672A694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9,395,131.99</w:t>
            </w:r>
          </w:p>
        </w:tc>
        <w:tc>
          <w:tcPr>
            <w:tcW w:w="3213" w:type="dxa"/>
            <w:tcBorders>
              <w:top w:val="single" w:color="auto" w:sz="2" w:space="0"/>
              <w:left w:val="single" w:color="auto" w:sz="2" w:space="0"/>
              <w:bottom w:val="single" w:color="auto" w:sz="2" w:space="0"/>
              <w:right w:val="single" w:color="auto" w:sz="2" w:space="0"/>
            </w:tcBorders>
            <w:vAlign w:val="center"/>
          </w:tcPr>
          <w:p w14:paraId="6C4F42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8,649,586.77</w:t>
            </w:r>
          </w:p>
        </w:tc>
      </w:tr>
      <w:tr w14:paraId="78FDE6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B7F98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38B579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38,873,741.70</w:t>
            </w:r>
          </w:p>
        </w:tc>
        <w:tc>
          <w:tcPr>
            <w:tcW w:w="3213" w:type="dxa"/>
            <w:tcBorders>
              <w:top w:val="single" w:color="auto" w:sz="2" w:space="0"/>
              <w:left w:val="single" w:color="auto" w:sz="2" w:space="0"/>
              <w:bottom w:val="single" w:color="auto" w:sz="2" w:space="0"/>
              <w:right w:val="single" w:color="auto" w:sz="2" w:space="0"/>
            </w:tcBorders>
            <w:vAlign w:val="center"/>
          </w:tcPr>
          <w:p w14:paraId="3FE155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36,520,008.56</w:t>
            </w:r>
          </w:p>
        </w:tc>
      </w:tr>
      <w:tr w14:paraId="5CC84C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60368D">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4BB4D75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EDC448">
            <w:pPr>
              <w:spacing w:before="0" w:after="0" w:line="240" w:lineRule="exact"/>
              <w:jc w:val="right"/>
              <w:rPr>
                <w:rFonts w:ascii="宋体" w:hAnsi="宋体" w:eastAsia="宋体" w:cs="宋体"/>
                <w:color w:val="auto"/>
                <w:sz w:val="18"/>
                <w:szCs w:val="18"/>
              </w:rPr>
            </w:pPr>
          </w:p>
        </w:tc>
      </w:tr>
      <w:tr w14:paraId="27340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1ED240">
            <w:pPr>
              <w:spacing w:before="40" w:after="4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3BA2874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5D1EA2E">
            <w:pPr>
              <w:spacing w:before="0" w:after="0" w:line="240" w:lineRule="exact"/>
              <w:jc w:val="right"/>
              <w:rPr>
                <w:rFonts w:ascii="宋体" w:hAnsi="宋体" w:eastAsia="宋体" w:cs="宋体"/>
                <w:color w:val="auto"/>
                <w:sz w:val="18"/>
                <w:szCs w:val="18"/>
              </w:rPr>
            </w:pPr>
          </w:p>
        </w:tc>
      </w:tr>
      <w:tr w14:paraId="5E3C87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C9C37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应付手续费及佣金</w:t>
            </w:r>
          </w:p>
        </w:tc>
        <w:tc>
          <w:tcPr>
            <w:tcW w:w="3213" w:type="dxa"/>
            <w:tcBorders>
              <w:top w:val="single" w:color="auto" w:sz="2" w:space="0"/>
              <w:left w:val="single" w:color="auto" w:sz="2" w:space="0"/>
              <w:bottom w:val="single" w:color="auto" w:sz="2" w:space="0"/>
              <w:right w:val="single" w:color="auto" w:sz="2" w:space="0"/>
            </w:tcBorders>
            <w:vAlign w:val="center"/>
          </w:tcPr>
          <w:p w14:paraId="529D494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32842F">
            <w:pPr>
              <w:spacing w:before="0" w:after="0" w:line="240" w:lineRule="exact"/>
              <w:jc w:val="right"/>
              <w:rPr>
                <w:rFonts w:ascii="宋体" w:hAnsi="宋体" w:eastAsia="宋体" w:cs="宋体"/>
                <w:color w:val="auto"/>
                <w:sz w:val="18"/>
                <w:szCs w:val="18"/>
              </w:rPr>
            </w:pPr>
          </w:p>
        </w:tc>
      </w:tr>
      <w:tr w14:paraId="42F6F8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641492">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应付分保账款</w:t>
            </w:r>
          </w:p>
        </w:tc>
        <w:tc>
          <w:tcPr>
            <w:tcW w:w="3213" w:type="dxa"/>
            <w:tcBorders>
              <w:top w:val="single" w:color="auto" w:sz="2" w:space="0"/>
              <w:left w:val="single" w:color="auto" w:sz="2" w:space="0"/>
              <w:bottom w:val="single" w:color="auto" w:sz="2" w:space="0"/>
              <w:right w:val="single" w:color="auto" w:sz="2" w:space="0"/>
            </w:tcBorders>
            <w:vAlign w:val="center"/>
          </w:tcPr>
          <w:p w14:paraId="78ECD03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5F70D39">
            <w:pPr>
              <w:spacing w:before="0" w:after="0" w:line="240" w:lineRule="exact"/>
              <w:jc w:val="right"/>
              <w:rPr>
                <w:rFonts w:ascii="宋体" w:hAnsi="宋体" w:eastAsia="宋体" w:cs="宋体"/>
                <w:color w:val="auto"/>
                <w:sz w:val="18"/>
                <w:szCs w:val="18"/>
              </w:rPr>
            </w:pPr>
          </w:p>
        </w:tc>
      </w:tr>
      <w:tr w14:paraId="16EF0B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A3240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14:paraId="4BBA436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F35930">
            <w:pPr>
              <w:spacing w:before="0" w:after="0" w:line="240" w:lineRule="exact"/>
              <w:jc w:val="right"/>
              <w:rPr>
                <w:rFonts w:ascii="宋体" w:hAnsi="宋体" w:eastAsia="宋体" w:cs="宋体"/>
                <w:color w:val="auto"/>
                <w:sz w:val="18"/>
                <w:szCs w:val="18"/>
              </w:rPr>
            </w:pPr>
          </w:p>
        </w:tc>
      </w:tr>
      <w:tr w14:paraId="38E66A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A40201">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0235A5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130,987,669.67</w:t>
            </w:r>
          </w:p>
        </w:tc>
        <w:tc>
          <w:tcPr>
            <w:tcW w:w="3213" w:type="dxa"/>
            <w:tcBorders>
              <w:top w:val="single" w:color="auto" w:sz="2" w:space="0"/>
              <w:left w:val="single" w:color="auto" w:sz="2" w:space="0"/>
              <w:bottom w:val="single" w:color="auto" w:sz="2" w:space="0"/>
              <w:right w:val="single" w:color="auto" w:sz="2" w:space="0"/>
            </w:tcBorders>
            <w:vAlign w:val="center"/>
          </w:tcPr>
          <w:p w14:paraId="3BCFB44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118,017,355.78</w:t>
            </w:r>
          </w:p>
        </w:tc>
      </w:tr>
      <w:tr w14:paraId="7183F5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014986">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7F33E32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477,399.48</w:t>
            </w:r>
          </w:p>
        </w:tc>
        <w:tc>
          <w:tcPr>
            <w:tcW w:w="3213" w:type="dxa"/>
            <w:tcBorders>
              <w:top w:val="single" w:color="auto" w:sz="2" w:space="0"/>
              <w:left w:val="single" w:color="auto" w:sz="2" w:space="0"/>
              <w:bottom w:val="single" w:color="auto" w:sz="2" w:space="0"/>
              <w:right w:val="single" w:color="auto" w:sz="2" w:space="0"/>
            </w:tcBorders>
            <w:vAlign w:val="center"/>
          </w:tcPr>
          <w:p w14:paraId="0E6E5F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326,543.03</w:t>
            </w:r>
          </w:p>
        </w:tc>
      </w:tr>
      <w:tr w14:paraId="0F557F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E5E8E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029FC9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567,923,946.77</w:t>
            </w:r>
          </w:p>
        </w:tc>
        <w:tc>
          <w:tcPr>
            <w:tcW w:w="3213" w:type="dxa"/>
            <w:tcBorders>
              <w:top w:val="single" w:color="auto" w:sz="2" w:space="0"/>
              <w:left w:val="single" w:color="auto" w:sz="2" w:space="0"/>
              <w:bottom w:val="single" w:color="auto" w:sz="2" w:space="0"/>
              <w:right w:val="single" w:color="auto" w:sz="2" w:space="0"/>
            </w:tcBorders>
            <w:vAlign w:val="center"/>
          </w:tcPr>
          <w:p w14:paraId="4428A68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574,775,157.40</w:t>
            </w:r>
          </w:p>
        </w:tc>
      </w:tr>
      <w:tr w14:paraId="5F2D2F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DFC0A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38F2A8">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F4D488">
            <w:pPr>
              <w:rPr>
                <w:color w:val="auto"/>
              </w:rPr>
            </w:pPr>
          </w:p>
        </w:tc>
      </w:tr>
      <w:tr w14:paraId="6137F6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47FA4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保险合同准备金</w:t>
            </w:r>
          </w:p>
        </w:tc>
        <w:tc>
          <w:tcPr>
            <w:tcW w:w="3213" w:type="dxa"/>
            <w:tcBorders>
              <w:top w:val="single" w:color="auto" w:sz="2" w:space="0"/>
              <w:left w:val="single" w:color="auto" w:sz="2" w:space="0"/>
              <w:bottom w:val="single" w:color="auto" w:sz="2" w:space="0"/>
              <w:right w:val="single" w:color="auto" w:sz="2" w:space="0"/>
            </w:tcBorders>
            <w:vAlign w:val="center"/>
          </w:tcPr>
          <w:p w14:paraId="1E52888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729E17D">
            <w:pPr>
              <w:spacing w:before="0" w:after="0" w:line="240" w:lineRule="exact"/>
              <w:jc w:val="right"/>
              <w:rPr>
                <w:rFonts w:ascii="宋体" w:hAnsi="宋体" w:eastAsia="宋体" w:cs="宋体"/>
                <w:color w:val="auto"/>
                <w:sz w:val="18"/>
                <w:szCs w:val="18"/>
              </w:rPr>
            </w:pPr>
          </w:p>
        </w:tc>
      </w:tr>
      <w:tr w14:paraId="2E0A26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3A9EF2">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602E742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137,083,600.00</w:t>
            </w:r>
          </w:p>
        </w:tc>
        <w:tc>
          <w:tcPr>
            <w:tcW w:w="3213" w:type="dxa"/>
            <w:tcBorders>
              <w:top w:val="single" w:color="auto" w:sz="2" w:space="0"/>
              <w:left w:val="single" w:color="auto" w:sz="2" w:space="0"/>
              <w:bottom w:val="single" w:color="auto" w:sz="2" w:space="0"/>
              <w:right w:val="single" w:color="auto" w:sz="2" w:space="0"/>
            </w:tcBorders>
            <w:vAlign w:val="center"/>
          </w:tcPr>
          <w:p w14:paraId="124FB11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142,363,100.00</w:t>
            </w:r>
          </w:p>
        </w:tc>
      </w:tr>
      <w:tr w14:paraId="080DA0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8F6E9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14:paraId="042CE53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7AC1686">
            <w:pPr>
              <w:spacing w:before="0" w:after="0" w:line="240" w:lineRule="exact"/>
              <w:jc w:val="right"/>
              <w:rPr>
                <w:rFonts w:ascii="宋体" w:hAnsi="宋体" w:eastAsia="宋体" w:cs="宋体"/>
                <w:color w:val="auto"/>
                <w:sz w:val="18"/>
                <w:szCs w:val="18"/>
              </w:rPr>
            </w:pPr>
          </w:p>
        </w:tc>
      </w:tr>
      <w:tr w14:paraId="37C0F6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EE047C">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233C437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51FA008">
            <w:pPr>
              <w:spacing w:before="0" w:after="0" w:line="240" w:lineRule="exact"/>
              <w:jc w:val="right"/>
              <w:rPr>
                <w:rFonts w:ascii="宋体" w:hAnsi="宋体" w:eastAsia="宋体" w:cs="宋体"/>
                <w:color w:val="auto"/>
                <w:sz w:val="18"/>
                <w:szCs w:val="18"/>
              </w:rPr>
            </w:pPr>
          </w:p>
        </w:tc>
      </w:tr>
      <w:tr w14:paraId="156B2C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6E7643">
            <w:pPr>
              <w:spacing w:before="40" w:after="4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057B975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E0A828D">
            <w:pPr>
              <w:spacing w:before="0" w:after="0" w:line="240" w:lineRule="exact"/>
              <w:jc w:val="right"/>
              <w:rPr>
                <w:rFonts w:ascii="宋体" w:hAnsi="宋体" w:eastAsia="宋体" w:cs="宋体"/>
                <w:color w:val="auto"/>
                <w:sz w:val="18"/>
                <w:szCs w:val="18"/>
              </w:rPr>
            </w:pPr>
          </w:p>
        </w:tc>
      </w:tr>
      <w:tr w14:paraId="3F6088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5B69CB">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1700695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5D2A53">
            <w:pPr>
              <w:spacing w:before="0" w:after="0" w:line="240" w:lineRule="exact"/>
              <w:jc w:val="right"/>
              <w:rPr>
                <w:rFonts w:ascii="宋体" w:hAnsi="宋体" w:eastAsia="宋体" w:cs="宋体"/>
                <w:color w:val="auto"/>
                <w:sz w:val="18"/>
                <w:szCs w:val="18"/>
              </w:rPr>
            </w:pPr>
          </w:p>
        </w:tc>
      </w:tr>
      <w:tr w14:paraId="47B0A3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0543B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66D105F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D09494">
            <w:pPr>
              <w:spacing w:before="0" w:after="0" w:line="240" w:lineRule="exact"/>
              <w:jc w:val="right"/>
              <w:rPr>
                <w:rFonts w:ascii="宋体" w:hAnsi="宋体" w:eastAsia="宋体" w:cs="宋体"/>
                <w:color w:val="auto"/>
                <w:sz w:val="18"/>
                <w:szCs w:val="18"/>
              </w:rPr>
            </w:pPr>
          </w:p>
        </w:tc>
      </w:tr>
      <w:tr w14:paraId="2705B3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0617D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5BDB9C9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5B62301">
            <w:pPr>
              <w:spacing w:before="0" w:after="0" w:line="240" w:lineRule="exact"/>
              <w:jc w:val="right"/>
              <w:rPr>
                <w:rFonts w:ascii="宋体" w:hAnsi="宋体" w:eastAsia="宋体" w:cs="宋体"/>
                <w:color w:val="auto"/>
                <w:sz w:val="18"/>
                <w:szCs w:val="18"/>
              </w:rPr>
            </w:pPr>
          </w:p>
        </w:tc>
      </w:tr>
      <w:tr w14:paraId="4E32C1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4E49EA">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14:paraId="73BC3F8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4,060,721.28</w:t>
            </w:r>
          </w:p>
        </w:tc>
        <w:tc>
          <w:tcPr>
            <w:tcW w:w="3213" w:type="dxa"/>
            <w:tcBorders>
              <w:top w:val="single" w:color="auto" w:sz="2" w:space="0"/>
              <w:left w:val="single" w:color="auto" w:sz="2" w:space="0"/>
              <w:bottom w:val="single" w:color="auto" w:sz="2" w:space="0"/>
              <w:right w:val="single" w:color="auto" w:sz="2" w:space="0"/>
            </w:tcBorders>
            <w:vAlign w:val="center"/>
          </w:tcPr>
          <w:p w14:paraId="4225C5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1,035,871.46</w:t>
            </w:r>
          </w:p>
        </w:tc>
      </w:tr>
      <w:tr w14:paraId="2DBA59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8ACE6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14:paraId="27A1EF0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63,919,620.59</w:t>
            </w:r>
          </w:p>
        </w:tc>
        <w:tc>
          <w:tcPr>
            <w:tcW w:w="3213" w:type="dxa"/>
            <w:tcBorders>
              <w:top w:val="single" w:color="auto" w:sz="2" w:space="0"/>
              <w:left w:val="single" w:color="auto" w:sz="2" w:space="0"/>
              <w:bottom w:val="single" w:color="auto" w:sz="2" w:space="0"/>
              <w:right w:val="single" w:color="auto" w:sz="2" w:space="0"/>
            </w:tcBorders>
            <w:vAlign w:val="center"/>
          </w:tcPr>
          <w:p w14:paraId="2470D68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65,990,600.62</w:t>
            </w:r>
          </w:p>
        </w:tc>
      </w:tr>
      <w:tr w14:paraId="1245E1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522577">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188D70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2,502,550.27</w:t>
            </w:r>
          </w:p>
        </w:tc>
        <w:tc>
          <w:tcPr>
            <w:tcW w:w="3213" w:type="dxa"/>
            <w:tcBorders>
              <w:top w:val="single" w:color="auto" w:sz="2" w:space="0"/>
              <w:left w:val="single" w:color="auto" w:sz="2" w:space="0"/>
              <w:bottom w:val="single" w:color="auto" w:sz="2" w:space="0"/>
              <w:right w:val="single" w:color="auto" w:sz="2" w:space="0"/>
            </w:tcBorders>
            <w:vAlign w:val="center"/>
          </w:tcPr>
          <w:p w14:paraId="39C07D1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2,665,305.02</w:t>
            </w:r>
          </w:p>
        </w:tc>
      </w:tr>
      <w:tr w14:paraId="27CB67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695DF9">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21036E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264,048,888.89</w:t>
            </w:r>
          </w:p>
        </w:tc>
        <w:tc>
          <w:tcPr>
            <w:tcW w:w="3213" w:type="dxa"/>
            <w:tcBorders>
              <w:top w:val="single" w:color="auto" w:sz="2" w:space="0"/>
              <w:left w:val="single" w:color="auto" w:sz="2" w:space="0"/>
              <w:bottom w:val="single" w:color="auto" w:sz="2" w:space="0"/>
              <w:right w:val="single" w:color="auto" w:sz="2" w:space="0"/>
            </w:tcBorders>
            <w:vAlign w:val="center"/>
          </w:tcPr>
          <w:p w14:paraId="4F5099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255,200,000.00</w:t>
            </w:r>
          </w:p>
        </w:tc>
      </w:tr>
      <w:tr w14:paraId="000E56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3FA8D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638F95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471,615,381.03</w:t>
            </w:r>
          </w:p>
        </w:tc>
        <w:tc>
          <w:tcPr>
            <w:tcW w:w="3213" w:type="dxa"/>
            <w:tcBorders>
              <w:top w:val="single" w:color="auto" w:sz="2" w:space="0"/>
              <w:left w:val="single" w:color="auto" w:sz="2" w:space="0"/>
              <w:bottom w:val="single" w:color="auto" w:sz="2" w:space="0"/>
              <w:right w:val="single" w:color="auto" w:sz="2" w:space="0"/>
            </w:tcBorders>
            <w:vAlign w:val="center"/>
          </w:tcPr>
          <w:p w14:paraId="425D929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467,254,877.10</w:t>
            </w:r>
          </w:p>
        </w:tc>
      </w:tr>
      <w:tr w14:paraId="3547D3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EB291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70D754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1,039,539,327.80</w:t>
            </w:r>
          </w:p>
        </w:tc>
        <w:tc>
          <w:tcPr>
            <w:tcW w:w="3213" w:type="dxa"/>
            <w:tcBorders>
              <w:top w:val="single" w:color="auto" w:sz="2" w:space="0"/>
              <w:left w:val="single" w:color="auto" w:sz="2" w:space="0"/>
              <w:bottom w:val="single" w:color="auto" w:sz="2" w:space="0"/>
              <w:right w:val="single" w:color="auto" w:sz="2" w:space="0"/>
            </w:tcBorders>
            <w:vAlign w:val="center"/>
          </w:tcPr>
          <w:p w14:paraId="2EE3BE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1,042,030,034.50</w:t>
            </w:r>
          </w:p>
        </w:tc>
      </w:tr>
      <w:tr w14:paraId="744378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096AF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3ACF40">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B04329">
            <w:pPr>
              <w:rPr>
                <w:color w:val="auto"/>
              </w:rPr>
            </w:pPr>
          </w:p>
        </w:tc>
      </w:tr>
      <w:tr w14:paraId="6B5B09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F4E7E9">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股本</w:t>
            </w:r>
          </w:p>
        </w:tc>
        <w:tc>
          <w:tcPr>
            <w:tcW w:w="3213" w:type="dxa"/>
            <w:tcBorders>
              <w:top w:val="single" w:color="auto" w:sz="2" w:space="0"/>
              <w:left w:val="single" w:color="auto" w:sz="2" w:space="0"/>
              <w:bottom w:val="single" w:color="auto" w:sz="2" w:space="0"/>
              <w:right w:val="single" w:color="auto" w:sz="2" w:space="0"/>
            </w:tcBorders>
            <w:vAlign w:val="center"/>
          </w:tcPr>
          <w:p w14:paraId="1FDF0DD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3213" w:type="dxa"/>
            <w:tcBorders>
              <w:top w:val="single" w:color="auto" w:sz="2" w:space="0"/>
              <w:left w:val="single" w:color="auto" w:sz="2" w:space="0"/>
              <w:bottom w:val="single" w:color="auto" w:sz="2" w:space="0"/>
              <w:right w:val="single" w:color="auto" w:sz="2" w:space="0"/>
            </w:tcBorders>
            <w:vAlign w:val="center"/>
          </w:tcPr>
          <w:p w14:paraId="61E26CF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r>
      <w:tr w14:paraId="761FC6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32974B">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14:paraId="438F7F7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41AF749">
            <w:pPr>
              <w:spacing w:before="0" w:after="0" w:line="240" w:lineRule="exact"/>
              <w:jc w:val="right"/>
              <w:rPr>
                <w:rFonts w:ascii="宋体" w:hAnsi="宋体" w:eastAsia="宋体" w:cs="宋体"/>
                <w:color w:val="auto"/>
                <w:sz w:val="18"/>
                <w:szCs w:val="18"/>
              </w:rPr>
            </w:pPr>
          </w:p>
        </w:tc>
      </w:tr>
      <w:tr w14:paraId="254F39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7D7C5D">
            <w:pPr>
              <w:spacing w:before="0" w:after="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39B9008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F7A1E1">
            <w:pPr>
              <w:spacing w:before="0" w:after="0" w:line="240" w:lineRule="exact"/>
              <w:jc w:val="right"/>
              <w:rPr>
                <w:rFonts w:ascii="宋体" w:hAnsi="宋体" w:eastAsia="宋体" w:cs="宋体"/>
                <w:color w:val="auto"/>
                <w:sz w:val="18"/>
                <w:szCs w:val="18"/>
              </w:rPr>
            </w:pPr>
          </w:p>
        </w:tc>
      </w:tr>
      <w:tr w14:paraId="278DAF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98F56C">
            <w:pPr>
              <w:spacing w:before="0" w:after="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76C48F3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48C64B">
            <w:pPr>
              <w:spacing w:before="0" w:after="0" w:line="240" w:lineRule="exact"/>
              <w:jc w:val="right"/>
              <w:rPr>
                <w:rFonts w:ascii="宋体" w:hAnsi="宋体" w:eastAsia="宋体" w:cs="宋体"/>
                <w:color w:val="auto"/>
                <w:sz w:val="18"/>
                <w:szCs w:val="18"/>
              </w:rPr>
            </w:pPr>
          </w:p>
        </w:tc>
      </w:tr>
      <w:tr w14:paraId="004984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462A45">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14:paraId="7339FFA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607,171,177.50</w:t>
            </w:r>
          </w:p>
        </w:tc>
        <w:tc>
          <w:tcPr>
            <w:tcW w:w="3213" w:type="dxa"/>
            <w:tcBorders>
              <w:top w:val="single" w:color="auto" w:sz="2" w:space="0"/>
              <w:left w:val="single" w:color="auto" w:sz="2" w:space="0"/>
              <w:bottom w:val="single" w:color="auto" w:sz="2" w:space="0"/>
              <w:right w:val="single" w:color="auto" w:sz="2" w:space="0"/>
            </w:tcBorders>
            <w:vAlign w:val="center"/>
          </w:tcPr>
          <w:p w14:paraId="740BEB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607,925,894.48</w:t>
            </w:r>
          </w:p>
        </w:tc>
      </w:tr>
      <w:tr w14:paraId="348DDF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299E1C">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14:paraId="4588893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6FF3F9">
            <w:pPr>
              <w:spacing w:before="0" w:after="0" w:line="240" w:lineRule="exact"/>
              <w:jc w:val="right"/>
              <w:rPr>
                <w:rFonts w:ascii="宋体" w:hAnsi="宋体" w:eastAsia="宋体" w:cs="宋体"/>
                <w:color w:val="auto"/>
                <w:sz w:val="18"/>
                <w:szCs w:val="18"/>
              </w:rPr>
            </w:pPr>
          </w:p>
        </w:tc>
      </w:tr>
      <w:tr w14:paraId="69DE13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381AAF">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13F62C97">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EACB533">
            <w:pPr>
              <w:spacing w:before="0" w:after="0" w:line="240" w:lineRule="exact"/>
              <w:jc w:val="right"/>
              <w:rPr>
                <w:rFonts w:ascii="宋体" w:hAnsi="宋体" w:eastAsia="宋体" w:cs="宋体"/>
                <w:color w:val="auto"/>
                <w:sz w:val="18"/>
                <w:szCs w:val="18"/>
              </w:rPr>
            </w:pPr>
          </w:p>
        </w:tc>
      </w:tr>
      <w:tr w14:paraId="0DC98E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90E47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14:paraId="736AADD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709FA5C">
            <w:pPr>
              <w:spacing w:before="0" w:after="0" w:line="240" w:lineRule="exact"/>
              <w:jc w:val="right"/>
              <w:rPr>
                <w:rFonts w:ascii="宋体" w:hAnsi="宋体" w:eastAsia="宋体" w:cs="宋体"/>
                <w:color w:val="auto"/>
                <w:sz w:val="18"/>
                <w:szCs w:val="18"/>
              </w:rPr>
            </w:pPr>
          </w:p>
        </w:tc>
      </w:tr>
      <w:tr w14:paraId="241C14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75482F">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14:paraId="42ED77D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3213" w:type="dxa"/>
            <w:tcBorders>
              <w:top w:val="single" w:color="auto" w:sz="2" w:space="0"/>
              <w:left w:val="single" w:color="auto" w:sz="2" w:space="0"/>
              <w:bottom w:val="single" w:color="auto" w:sz="2" w:space="0"/>
              <w:right w:val="single" w:color="auto" w:sz="2" w:space="0"/>
            </w:tcBorders>
            <w:vAlign w:val="center"/>
          </w:tcPr>
          <w:p w14:paraId="69B1C3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r>
      <w:tr w14:paraId="3DCBAE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A7618A">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一般风险准备</w:t>
            </w:r>
          </w:p>
        </w:tc>
        <w:tc>
          <w:tcPr>
            <w:tcW w:w="3213" w:type="dxa"/>
            <w:tcBorders>
              <w:top w:val="single" w:color="auto" w:sz="2" w:space="0"/>
              <w:left w:val="single" w:color="auto" w:sz="2" w:space="0"/>
              <w:bottom w:val="single" w:color="auto" w:sz="2" w:space="0"/>
              <w:right w:val="single" w:color="auto" w:sz="2" w:space="0"/>
            </w:tcBorders>
            <w:vAlign w:val="center"/>
          </w:tcPr>
          <w:p w14:paraId="1E20D23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965B5D3">
            <w:pPr>
              <w:spacing w:before="0" w:after="0" w:line="240" w:lineRule="exact"/>
              <w:jc w:val="right"/>
              <w:rPr>
                <w:rFonts w:ascii="宋体" w:hAnsi="宋体" w:eastAsia="宋体" w:cs="宋体"/>
                <w:color w:val="auto"/>
                <w:sz w:val="18"/>
                <w:szCs w:val="18"/>
              </w:rPr>
            </w:pPr>
          </w:p>
        </w:tc>
      </w:tr>
      <w:tr w14:paraId="206D43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345D25">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18C0D4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-518,096,016.46</w:t>
            </w:r>
          </w:p>
        </w:tc>
        <w:tc>
          <w:tcPr>
            <w:tcW w:w="3213" w:type="dxa"/>
            <w:tcBorders>
              <w:top w:val="single" w:color="auto" w:sz="2" w:space="0"/>
              <w:left w:val="single" w:color="auto" w:sz="2" w:space="0"/>
              <w:bottom w:val="single" w:color="auto" w:sz="2" w:space="0"/>
              <w:right w:val="single" w:color="auto" w:sz="2" w:space="0"/>
            </w:tcBorders>
            <w:vAlign w:val="center"/>
          </w:tcPr>
          <w:p w14:paraId="00AD67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-451,407,904.07</w:t>
            </w:r>
          </w:p>
        </w:tc>
      </w:tr>
      <w:tr w14:paraId="4659F6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0FBA4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归属于母公司所有者权益合计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0C0C46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292,735,994.35</w:t>
            </w:r>
          </w:p>
        </w:tc>
        <w:tc>
          <w:tcPr>
            <w:tcW w:w="3213" w:type="dxa"/>
            <w:tcBorders>
              <w:top w:val="single" w:color="auto" w:sz="2" w:space="0"/>
              <w:left w:val="single" w:color="auto" w:sz="2" w:space="0"/>
              <w:bottom w:val="single" w:color="auto" w:sz="2" w:space="0"/>
              <w:right w:val="single" w:color="auto" w:sz="2" w:space="0"/>
            </w:tcBorders>
            <w:vAlign w:val="center"/>
          </w:tcPr>
          <w:p w14:paraId="35671B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360,178,823.72</w:t>
            </w:r>
          </w:p>
        </w:tc>
      </w:tr>
      <w:tr w14:paraId="33F735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6DAB67">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43B3961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32,879,936.39</w:t>
            </w:r>
          </w:p>
        </w:tc>
        <w:tc>
          <w:tcPr>
            <w:tcW w:w="3213" w:type="dxa"/>
            <w:tcBorders>
              <w:top w:val="single" w:color="auto" w:sz="2" w:space="0"/>
              <w:left w:val="single" w:color="auto" w:sz="2" w:space="0"/>
              <w:bottom w:val="single" w:color="auto" w:sz="2" w:space="0"/>
              <w:right w:val="single" w:color="auto" w:sz="2" w:space="0"/>
            </w:tcBorders>
            <w:vAlign w:val="center"/>
          </w:tcPr>
          <w:p w14:paraId="669CC0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36,599,097.85</w:t>
            </w:r>
          </w:p>
        </w:tc>
      </w:tr>
      <w:tr w14:paraId="744F7E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9626F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4FA58B5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325,615,930.74</w:t>
            </w:r>
          </w:p>
        </w:tc>
        <w:tc>
          <w:tcPr>
            <w:tcW w:w="3213" w:type="dxa"/>
            <w:tcBorders>
              <w:top w:val="single" w:color="auto" w:sz="2" w:space="0"/>
              <w:left w:val="single" w:color="auto" w:sz="2" w:space="0"/>
              <w:bottom w:val="single" w:color="auto" w:sz="2" w:space="0"/>
              <w:right w:val="single" w:color="auto" w:sz="2" w:space="0"/>
            </w:tcBorders>
            <w:vAlign w:val="center"/>
          </w:tcPr>
          <w:p w14:paraId="735D9A0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396,777,921.57</w:t>
            </w:r>
          </w:p>
        </w:tc>
      </w:tr>
      <w:tr w14:paraId="15179A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84028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14:paraId="24D6B0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1,365,155,258.54</w:t>
            </w:r>
          </w:p>
        </w:tc>
        <w:tc>
          <w:tcPr>
            <w:tcW w:w="3213" w:type="dxa"/>
            <w:tcBorders>
              <w:top w:val="single" w:color="auto" w:sz="2" w:space="0"/>
              <w:left w:val="single" w:color="auto" w:sz="2" w:space="0"/>
              <w:bottom w:val="single" w:color="auto" w:sz="2" w:space="0"/>
              <w:right w:val="single" w:color="auto" w:sz="2" w:space="0"/>
            </w:tcBorders>
            <w:vAlign w:val="center"/>
          </w:tcPr>
          <w:p w14:paraId="0E9353F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1,438,807,956.07</w:t>
            </w:r>
          </w:p>
        </w:tc>
      </w:tr>
    </w:tbl>
    <w:p w14:paraId="3DAA16A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法定代表人：李国平主管会计工作负责人：官建辉会计机构负责人：林艳虹</w:t>
      </w:r>
    </w:p>
    <w:p w14:paraId="6B5BC560">
      <w:pPr>
        <w:keepNext/>
        <w:keepLines/>
        <w:spacing w:before="300" w:after="300" w:line="320" w:lineRule="exact"/>
        <w:jc w:val="left"/>
        <w:outlineLvl w:val="2"/>
        <w:rPr>
          <w:rFonts w:ascii="宋体" w:hAnsi="宋体" w:eastAsia="宋体" w:cs="宋体"/>
          <w:b/>
          <w:bCs/>
          <w:color w:val="auto"/>
          <w:sz w:val="24"/>
          <w:szCs w:val="24"/>
        </w:rPr>
      </w:pPr>
      <w:bookmarkStart w:id="4" w:name="_Toc988980"/>
      <w:r>
        <w:rPr>
          <w:rFonts w:ascii="宋体" w:hAnsi="宋体" w:eastAsia="宋体" w:cs="宋体"/>
          <w:b/>
          <w:bCs/>
          <w:color w:val="auto"/>
          <w:sz w:val="24"/>
          <w:szCs w:val="24"/>
        </w:rPr>
        <w:t>2、母公司资产负债表</w:t>
      </w:r>
      <w:bookmarkEnd w:id="4"/>
    </w:p>
    <w:p w14:paraId="3C936BA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1A81F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CDBF0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B5695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5A768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2F4078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D4034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71BA66">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9E42D1">
            <w:pPr>
              <w:rPr>
                <w:color w:val="auto"/>
              </w:rPr>
            </w:pPr>
          </w:p>
        </w:tc>
      </w:tr>
      <w:tr w14:paraId="73F6CA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98CF9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5B58BF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33,917,555.13</w:t>
            </w:r>
          </w:p>
        </w:tc>
        <w:tc>
          <w:tcPr>
            <w:tcW w:w="3213" w:type="dxa"/>
            <w:tcBorders>
              <w:top w:val="single" w:color="auto" w:sz="2" w:space="0"/>
              <w:left w:val="single" w:color="auto" w:sz="2" w:space="0"/>
              <w:bottom w:val="single" w:color="auto" w:sz="2" w:space="0"/>
              <w:right w:val="single" w:color="auto" w:sz="2" w:space="0"/>
            </w:tcBorders>
            <w:vAlign w:val="center"/>
          </w:tcPr>
          <w:p w14:paraId="2497DE0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95,887,610.78</w:t>
            </w:r>
          </w:p>
        </w:tc>
      </w:tr>
      <w:tr w14:paraId="7A40F8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7A140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56559DB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0933CB">
            <w:pPr>
              <w:spacing w:before="0" w:after="0" w:line="240" w:lineRule="exact"/>
              <w:jc w:val="right"/>
              <w:rPr>
                <w:rFonts w:ascii="宋体" w:hAnsi="宋体" w:eastAsia="宋体" w:cs="宋体"/>
                <w:color w:val="auto"/>
                <w:sz w:val="18"/>
                <w:szCs w:val="18"/>
              </w:rPr>
            </w:pPr>
          </w:p>
        </w:tc>
      </w:tr>
      <w:tr w14:paraId="1FC386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38E27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1DD69E1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CDA01AC">
            <w:pPr>
              <w:spacing w:before="0" w:after="0" w:line="240" w:lineRule="exact"/>
              <w:jc w:val="right"/>
              <w:rPr>
                <w:rFonts w:ascii="宋体" w:hAnsi="宋体" w:eastAsia="宋体" w:cs="宋体"/>
                <w:color w:val="auto"/>
                <w:sz w:val="18"/>
                <w:szCs w:val="18"/>
              </w:rPr>
            </w:pPr>
          </w:p>
        </w:tc>
      </w:tr>
      <w:tr w14:paraId="37E123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FA982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3D838F9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36136A">
            <w:pPr>
              <w:spacing w:before="0" w:after="0" w:line="240" w:lineRule="exact"/>
              <w:jc w:val="right"/>
              <w:rPr>
                <w:rFonts w:ascii="宋体" w:hAnsi="宋体" w:eastAsia="宋体" w:cs="宋体"/>
                <w:color w:val="auto"/>
                <w:sz w:val="18"/>
                <w:szCs w:val="18"/>
              </w:rPr>
            </w:pPr>
          </w:p>
        </w:tc>
      </w:tr>
      <w:tr w14:paraId="66DBC1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47D6B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14:paraId="1B66AAF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97,128,690.92</w:t>
            </w:r>
          </w:p>
        </w:tc>
        <w:tc>
          <w:tcPr>
            <w:tcW w:w="3213" w:type="dxa"/>
            <w:tcBorders>
              <w:top w:val="single" w:color="auto" w:sz="2" w:space="0"/>
              <w:left w:val="single" w:color="auto" w:sz="2" w:space="0"/>
              <w:bottom w:val="single" w:color="auto" w:sz="2" w:space="0"/>
              <w:right w:val="single" w:color="auto" w:sz="2" w:space="0"/>
            </w:tcBorders>
            <w:vAlign w:val="center"/>
          </w:tcPr>
          <w:p w14:paraId="3707F8C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86,455,524.67</w:t>
            </w:r>
          </w:p>
        </w:tc>
      </w:tr>
      <w:tr w14:paraId="5E72CC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920AF1">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14:paraId="74EADD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1,922,920.50</w:t>
            </w:r>
          </w:p>
        </w:tc>
        <w:tc>
          <w:tcPr>
            <w:tcW w:w="3213" w:type="dxa"/>
            <w:tcBorders>
              <w:top w:val="single" w:color="auto" w:sz="2" w:space="0"/>
              <w:left w:val="single" w:color="auto" w:sz="2" w:space="0"/>
              <w:bottom w:val="single" w:color="auto" w:sz="2" w:space="0"/>
              <w:right w:val="single" w:color="auto" w:sz="2" w:space="0"/>
            </w:tcBorders>
            <w:vAlign w:val="center"/>
          </w:tcPr>
          <w:p w14:paraId="62E8A1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2,083,488.00</w:t>
            </w:r>
          </w:p>
        </w:tc>
      </w:tr>
      <w:tr w14:paraId="1628CE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47C61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14:paraId="3AD51D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14,167,668.45</w:t>
            </w:r>
          </w:p>
        </w:tc>
        <w:tc>
          <w:tcPr>
            <w:tcW w:w="3213" w:type="dxa"/>
            <w:tcBorders>
              <w:top w:val="single" w:color="auto" w:sz="2" w:space="0"/>
              <w:left w:val="single" w:color="auto" w:sz="2" w:space="0"/>
              <w:bottom w:val="single" w:color="auto" w:sz="2" w:space="0"/>
              <w:right w:val="single" w:color="auto" w:sz="2" w:space="0"/>
            </w:tcBorders>
            <w:vAlign w:val="center"/>
          </w:tcPr>
          <w:p w14:paraId="40250A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27,100,129.36</w:t>
            </w:r>
          </w:p>
        </w:tc>
      </w:tr>
      <w:tr w14:paraId="266B9D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F3B1D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101724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40,204,804.02</w:t>
            </w:r>
          </w:p>
        </w:tc>
        <w:tc>
          <w:tcPr>
            <w:tcW w:w="3213" w:type="dxa"/>
            <w:tcBorders>
              <w:top w:val="single" w:color="auto" w:sz="2" w:space="0"/>
              <w:left w:val="single" w:color="auto" w:sz="2" w:space="0"/>
              <w:bottom w:val="single" w:color="auto" w:sz="2" w:space="0"/>
              <w:right w:val="single" w:color="auto" w:sz="2" w:space="0"/>
            </w:tcBorders>
            <w:vAlign w:val="center"/>
          </w:tcPr>
          <w:p w14:paraId="230365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41,993,004.66</w:t>
            </w:r>
          </w:p>
        </w:tc>
      </w:tr>
      <w:tr w14:paraId="2368E5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EE5718">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14:paraId="717E4D6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3E52282">
            <w:pPr>
              <w:spacing w:before="0" w:after="0" w:line="240" w:lineRule="exact"/>
              <w:jc w:val="right"/>
              <w:rPr>
                <w:rFonts w:ascii="宋体" w:hAnsi="宋体" w:eastAsia="宋体" w:cs="宋体"/>
                <w:color w:val="auto"/>
                <w:sz w:val="18"/>
                <w:szCs w:val="18"/>
              </w:rPr>
            </w:pPr>
          </w:p>
        </w:tc>
      </w:tr>
      <w:tr w14:paraId="6E526B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BC7A59">
            <w:pPr>
              <w:spacing w:before="40" w:after="4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14:paraId="12BC094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79C5D4">
            <w:pPr>
              <w:spacing w:before="0" w:after="0" w:line="240" w:lineRule="exact"/>
              <w:jc w:val="right"/>
              <w:rPr>
                <w:rFonts w:ascii="宋体" w:hAnsi="宋体" w:eastAsia="宋体" w:cs="宋体"/>
                <w:color w:val="auto"/>
                <w:sz w:val="18"/>
                <w:szCs w:val="18"/>
              </w:rPr>
            </w:pPr>
          </w:p>
        </w:tc>
      </w:tr>
      <w:tr w14:paraId="5D59C9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9D2AD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3EFFE6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114,167,914.14</w:t>
            </w:r>
          </w:p>
        </w:tc>
        <w:tc>
          <w:tcPr>
            <w:tcW w:w="3213" w:type="dxa"/>
            <w:tcBorders>
              <w:top w:val="single" w:color="auto" w:sz="2" w:space="0"/>
              <w:left w:val="single" w:color="auto" w:sz="2" w:space="0"/>
              <w:bottom w:val="single" w:color="auto" w:sz="2" w:space="0"/>
              <w:right w:val="single" w:color="auto" w:sz="2" w:space="0"/>
            </w:tcBorders>
            <w:vAlign w:val="center"/>
          </w:tcPr>
          <w:p w14:paraId="50DF3DA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84,575,040.06</w:t>
            </w:r>
          </w:p>
        </w:tc>
      </w:tr>
      <w:tr w14:paraId="14877C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F7CE0A">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45E2EF1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24F22C">
            <w:pPr>
              <w:spacing w:before="0" w:after="0" w:line="240" w:lineRule="exact"/>
              <w:jc w:val="right"/>
              <w:rPr>
                <w:rFonts w:ascii="宋体" w:hAnsi="宋体" w:eastAsia="宋体" w:cs="宋体"/>
                <w:color w:val="auto"/>
                <w:sz w:val="18"/>
                <w:szCs w:val="18"/>
              </w:rPr>
            </w:pPr>
          </w:p>
        </w:tc>
      </w:tr>
      <w:tr w14:paraId="375A13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FBE92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14:paraId="6705B9D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E2C44B">
            <w:pPr>
              <w:spacing w:before="0" w:after="0" w:line="240" w:lineRule="exact"/>
              <w:jc w:val="right"/>
              <w:rPr>
                <w:rFonts w:ascii="宋体" w:hAnsi="宋体" w:eastAsia="宋体" w:cs="宋体"/>
                <w:color w:val="auto"/>
                <w:sz w:val="18"/>
                <w:szCs w:val="18"/>
              </w:rPr>
            </w:pPr>
          </w:p>
        </w:tc>
      </w:tr>
      <w:tr w14:paraId="69BA91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49FBBA">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14:paraId="5B230D2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8FA0F00">
            <w:pPr>
              <w:spacing w:before="0" w:after="0" w:line="240" w:lineRule="exact"/>
              <w:jc w:val="right"/>
              <w:rPr>
                <w:rFonts w:ascii="宋体" w:hAnsi="宋体" w:eastAsia="宋体" w:cs="宋体"/>
                <w:color w:val="auto"/>
                <w:sz w:val="18"/>
                <w:szCs w:val="18"/>
              </w:rPr>
            </w:pPr>
          </w:p>
        </w:tc>
      </w:tr>
      <w:tr w14:paraId="607EE0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822BE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3A84F09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D9E8C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128,301.77</w:t>
            </w:r>
          </w:p>
        </w:tc>
      </w:tr>
      <w:tr w14:paraId="6E36A5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BB8A3A">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43D080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23,439,830.87</w:t>
            </w:r>
          </w:p>
        </w:tc>
        <w:tc>
          <w:tcPr>
            <w:tcW w:w="3213" w:type="dxa"/>
            <w:tcBorders>
              <w:top w:val="single" w:color="auto" w:sz="2" w:space="0"/>
              <w:left w:val="single" w:color="auto" w:sz="2" w:space="0"/>
              <w:bottom w:val="single" w:color="auto" w:sz="2" w:space="0"/>
              <w:right w:val="single" w:color="auto" w:sz="2" w:space="0"/>
            </w:tcBorders>
            <w:vAlign w:val="center"/>
          </w:tcPr>
          <w:p w14:paraId="556B1E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25,826,487.97</w:t>
            </w:r>
          </w:p>
        </w:tc>
      </w:tr>
      <w:tr w14:paraId="1F1FFE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904EA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448D90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324,949,384.03</w:t>
            </w:r>
          </w:p>
        </w:tc>
        <w:tc>
          <w:tcPr>
            <w:tcW w:w="3213" w:type="dxa"/>
            <w:tcBorders>
              <w:top w:val="single" w:color="auto" w:sz="2" w:space="0"/>
              <w:left w:val="single" w:color="auto" w:sz="2" w:space="0"/>
              <w:bottom w:val="single" w:color="auto" w:sz="2" w:space="0"/>
              <w:right w:val="single" w:color="auto" w:sz="2" w:space="0"/>
            </w:tcBorders>
            <w:vAlign w:val="center"/>
          </w:tcPr>
          <w:p w14:paraId="6AE6CCF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364,049,587.27</w:t>
            </w:r>
          </w:p>
        </w:tc>
      </w:tr>
      <w:tr w14:paraId="5B8BF5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620B6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290EC9">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DD522E">
            <w:pPr>
              <w:rPr>
                <w:color w:val="auto"/>
              </w:rPr>
            </w:pPr>
          </w:p>
        </w:tc>
      </w:tr>
      <w:tr w14:paraId="4A8C85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7B50D9">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021BBA4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85BF757">
            <w:pPr>
              <w:spacing w:before="0" w:after="0" w:line="240" w:lineRule="exact"/>
              <w:jc w:val="right"/>
              <w:rPr>
                <w:rFonts w:ascii="宋体" w:hAnsi="宋体" w:eastAsia="宋体" w:cs="宋体"/>
                <w:color w:val="auto"/>
                <w:sz w:val="18"/>
                <w:szCs w:val="18"/>
              </w:rPr>
            </w:pPr>
          </w:p>
        </w:tc>
      </w:tr>
      <w:tr w14:paraId="405E5E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834B19">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0CAB74F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CE818FC">
            <w:pPr>
              <w:spacing w:before="0" w:after="0" w:line="240" w:lineRule="exact"/>
              <w:jc w:val="right"/>
              <w:rPr>
                <w:rFonts w:ascii="宋体" w:hAnsi="宋体" w:eastAsia="宋体" w:cs="宋体"/>
                <w:color w:val="auto"/>
                <w:sz w:val="18"/>
                <w:szCs w:val="18"/>
              </w:rPr>
            </w:pPr>
          </w:p>
        </w:tc>
      </w:tr>
      <w:tr w14:paraId="0D9912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53AF9A">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020554C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F7F8140">
            <w:pPr>
              <w:spacing w:before="0" w:after="0" w:line="240" w:lineRule="exact"/>
              <w:jc w:val="right"/>
              <w:rPr>
                <w:rFonts w:ascii="宋体" w:hAnsi="宋体" w:eastAsia="宋体" w:cs="宋体"/>
                <w:color w:val="auto"/>
                <w:sz w:val="18"/>
                <w:szCs w:val="18"/>
              </w:rPr>
            </w:pPr>
          </w:p>
        </w:tc>
      </w:tr>
      <w:tr w14:paraId="341824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4F48D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14:paraId="6578EA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743,903,864.89</w:t>
            </w:r>
          </w:p>
        </w:tc>
        <w:tc>
          <w:tcPr>
            <w:tcW w:w="3213" w:type="dxa"/>
            <w:tcBorders>
              <w:top w:val="single" w:color="auto" w:sz="2" w:space="0"/>
              <w:left w:val="single" w:color="auto" w:sz="2" w:space="0"/>
              <w:bottom w:val="single" w:color="auto" w:sz="2" w:space="0"/>
              <w:right w:val="single" w:color="auto" w:sz="2" w:space="0"/>
            </w:tcBorders>
            <w:vAlign w:val="center"/>
          </w:tcPr>
          <w:p w14:paraId="79AE08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717,300,443.41</w:t>
            </w:r>
          </w:p>
        </w:tc>
      </w:tr>
      <w:tr w14:paraId="783FF8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E425C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14:paraId="757CACB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E97959">
            <w:pPr>
              <w:spacing w:before="0" w:after="0" w:line="240" w:lineRule="exact"/>
              <w:jc w:val="right"/>
              <w:rPr>
                <w:rFonts w:ascii="宋体" w:hAnsi="宋体" w:eastAsia="宋体" w:cs="宋体"/>
                <w:color w:val="auto"/>
                <w:sz w:val="18"/>
                <w:szCs w:val="18"/>
              </w:rPr>
            </w:pPr>
          </w:p>
        </w:tc>
      </w:tr>
      <w:tr w14:paraId="400524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F135C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7D2D4BD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DA46E91">
            <w:pPr>
              <w:spacing w:before="0" w:after="0" w:line="240" w:lineRule="exact"/>
              <w:jc w:val="right"/>
              <w:rPr>
                <w:rFonts w:ascii="宋体" w:hAnsi="宋体" w:eastAsia="宋体" w:cs="宋体"/>
                <w:color w:val="auto"/>
                <w:sz w:val="18"/>
                <w:szCs w:val="18"/>
              </w:rPr>
            </w:pPr>
          </w:p>
        </w:tc>
      </w:tr>
      <w:tr w14:paraId="787A79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0BE08D">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14:paraId="42E76A0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5588BB8">
            <w:pPr>
              <w:spacing w:before="0" w:after="0" w:line="240" w:lineRule="exact"/>
              <w:jc w:val="right"/>
              <w:rPr>
                <w:rFonts w:ascii="宋体" w:hAnsi="宋体" w:eastAsia="宋体" w:cs="宋体"/>
                <w:color w:val="auto"/>
                <w:sz w:val="18"/>
                <w:szCs w:val="18"/>
              </w:rPr>
            </w:pPr>
          </w:p>
        </w:tc>
      </w:tr>
      <w:tr w14:paraId="41B8D4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99E81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0847472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384,772,479.32</w:t>
            </w:r>
          </w:p>
        </w:tc>
        <w:tc>
          <w:tcPr>
            <w:tcW w:w="3213" w:type="dxa"/>
            <w:tcBorders>
              <w:top w:val="single" w:color="auto" w:sz="2" w:space="0"/>
              <w:left w:val="single" w:color="auto" w:sz="2" w:space="0"/>
              <w:bottom w:val="single" w:color="auto" w:sz="2" w:space="0"/>
              <w:right w:val="single" w:color="auto" w:sz="2" w:space="0"/>
            </w:tcBorders>
            <w:vAlign w:val="center"/>
          </w:tcPr>
          <w:p w14:paraId="34E49F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404,064,383.64</w:t>
            </w:r>
          </w:p>
        </w:tc>
      </w:tr>
      <w:tr w14:paraId="212CF3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01BAA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1293312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23C5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1,001,770.53</w:t>
            </w:r>
          </w:p>
        </w:tc>
      </w:tr>
      <w:tr w14:paraId="2C696A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ACBD5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14:paraId="6E2FF58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94952A9">
            <w:pPr>
              <w:spacing w:before="0" w:after="0" w:line="240" w:lineRule="exact"/>
              <w:jc w:val="right"/>
              <w:rPr>
                <w:rFonts w:ascii="宋体" w:hAnsi="宋体" w:eastAsia="宋体" w:cs="宋体"/>
                <w:color w:val="auto"/>
                <w:sz w:val="18"/>
                <w:szCs w:val="18"/>
              </w:rPr>
            </w:pPr>
          </w:p>
        </w:tc>
      </w:tr>
      <w:tr w14:paraId="52B55F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3AF0A9">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14:paraId="5AC128A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5647180">
            <w:pPr>
              <w:spacing w:before="0" w:after="0" w:line="240" w:lineRule="exact"/>
              <w:jc w:val="right"/>
              <w:rPr>
                <w:rFonts w:ascii="宋体" w:hAnsi="宋体" w:eastAsia="宋体" w:cs="宋体"/>
                <w:color w:val="auto"/>
                <w:sz w:val="18"/>
                <w:szCs w:val="18"/>
              </w:rPr>
            </w:pPr>
          </w:p>
        </w:tc>
      </w:tr>
      <w:tr w14:paraId="432A27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9D2CD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14:paraId="6D9C14C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149,569.36</w:t>
            </w:r>
          </w:p>
        </w:tc>
        <w:tc>
          <w:tcPr>
            <w:tcW w:w="3213" w:type="dxa"/>
            <w:tcBorders>
              <w:top w:val="single" w:color="auto" w:sz="2" w:space="0"/>
              <w:left w:val="single" w:color="auto" w:sz="2" w:space="0"/>
              <w:bottom w:val="single" w:color="auto" w:sz="2" w:space="0"/>
              <w:right w:val="single" w:color="auto" w:sz="2" w:space="0"/>
            </w:tcBorders>
            <w:vAlign w:val="center"/>
          </w:tcPr>
          <w:p w14:paraId="1FEF76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318,256.19</w:t>
            </w:r>
          </w:p>
        </w:tc>
      </w:tr>
      <w:tr w14:paraId="6DE98B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F40A5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3F0CF8A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70,510,159.90</w:t>
            </w:r>
          </w:p>
        </w:tc>
        <w:tc>
          <w:tcPr>
            <w:tcW w:w="3213" w:type="dxa"/>
            <w:tcBorders>
              <w:top w:val="single" w:color="auto" w:sz="2" w:space="0"/>
              <w:left w:val="single" w:color="auto" w:sz="2" w:space="0"/>
              <w:bottom w:val="single" w:color="auto" w:sz="2" w:space="0"/>
              <w:right w:val="single" w:color="auto" w:sz="2" w:space="0"/>
            </w:tcBorders>
            <w:vAlign w:val="center"/>
          </w:tcPr>
          <w:p w14:paraId="1BE01B7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78,097,169.95</w:t>
            </w:r>
          </w:p>
        </w:tc>
      </w:tr>
      <w:tr w14:paraId="7F5179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B5DF2A">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051BF52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8636AF2">
            <w:pPr>
              <w:spacing w:before="0" w:after="0" w:line="240" w:lineRule="exact"/>
              <w:jc w:val="right"/>
              <w:rPr>
                <w:rFonts w:ascii="宋体" w:hAnsi="宋体" w:eastAsia="宋体" w:cs="宋体"/>
                <w:color w:val="auto"/>
                <w:sz w:val="18"/>
                <w:szCs w:val="18"/>
              </w:rPr>
            </w:pPr>
          </w:p>
        </w:tc>
      </w:tr>
      <w:tr w14:paraId="3231C4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D18A6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14:paraId="53D3B0B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86A4C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5,426,809.51</w:t>
            </w:r>
          </w:p>
        </w:tc>
      </w:tr>
      <w:tr w14:paraId="017185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3DAC64">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3287DB1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2C10A7">
            <w:pPr>
              <w:spacing w:before="0" w:after="0" w:line="240" w:lineRule="exact"/>
              <w:jc w:val="right"/>
              <w:rPr>
                <w:rFonts w:ascii="宋体" w:hAnsi="宋体" w:eastAsia="宋体" w:cs="宋体"/>
                <w:color w:val="auto"/>
                <w:sz w:val="18"/>
                <w:szCs w:val="18"/>
              </w:rPr>
            </w:pPr>
          </w:p>
        </w:tc>
      </w:tr>
      <w:tr w14:paraId="2171AA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516FE2">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495918B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F911D4">
            <w:pPr>
              <w:spacing w:before="0" w:after="0" w:line="240" w:lineRule="exact"/>
              <w:jc w:val="right"/>
              <w:rPr>
                <w:rFonts w:ascii="宋体" w:hAnsi="宋体" w:eastAsia="宋体" w:cs="宋体"/>
                <w:color w:val="auto"/>
                <w:sz w:val="18"/>
                <w:szCs w:val="18"/>
              </w:rPr>
            </w:pPr>
          </w:p>
        </w:tc>
      </w:tr>
      <w:tr w14:paraId="30C2D1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9CE40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4E1BE9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33,769,528.34</w:t>
            </w:r>
          </w:p>
        </w:tc>
        <w:tc>
          <w:tcPr>
            <w:tcW w:w="3213" w:type="dxa"/>
            <w:tcBorders>
              <w:top w:val="single" w:color="auto" w:sz="2" w:space="0"/>
              <w:left w:val="single" w:color="auto" w:sz="2" w:space="0"/>
              <w:bottom w:val="single" w:color="auto" w:sz="2" w:space="0"/>
              <w:right w:val="single" w:color="auto" w:sz="2" w:space="0"/>
            </w:tcBorders>
            <w:vAlign w:val="center"/>
          </w:tcPr>
          <w:p w14:paraId="072096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36,021,821.65</w:t>
            </w:r>
          </w:p>
        </w:tc>
      </w:tr>
      <w:tr w14:paraId="68DF54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461F5A">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14:paraId="656D838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350,333.08</w:t>
            </w:r>
          </w:p>
        </w:tc>
        <w:tc>
          <w:tcPr>
            <w:tcW w:w="3213" w:type="dxa"/>
            <w:tcBorders>
              <w:top w:val="single" w:color="auto" w:sz="2" w:space="0"/>
              <w:left w:val="single" w:color="auto" w:sz="2" w:space="0"/>
              <w:bottom w:val="single" w:color="auto" w:sz="2" w:space="0"/>
              <w:right w:val="single" w:color="auto" w:sz="2" w:space="0"/>
            </w:tcBorders>
            <w:vAlign w:val="center"/>
          </w:tcPr>
          <w:p w14:paraId="0ED502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419,247.25</w:t>
            </w:r>
          </w:p>
        </w:tc>
      </w:tr>
      <w:tr w14:paraId="17E9CE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FDDF41">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528828A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8,044,025.00</w:t>
            </w:r>
          </w:p>
        </w:tc>
        <w:tc>
          <w:tcPr>
            <w:tcW w:w="3213" w:type="dxa"/>
            <w:tcBorders>
              <w:top w:val="single" w:color="auto" w:sz="2" w:space="0"/>
              <w:left w:val="single" w:color="auto" w:sz="2" w:space="0"/>
              <w:bottom w:val="single" w:color="auto" w:sz="2" w:space="0"/>
              <w:right w:val="single" w:color="auto" w:sz="2" w:space="0"/>
            </w:tcBorders>
            <w:vAlign w:val="center"/>
          </w:tcPr>
          <w:p w14:paraId="51587F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8,013,348.72</w:t>
            </w:r>
          </w:p>
        </w:tc>
      </w:tr>
      <w:tr w14:paraId="09E515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5ABA3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2B9F903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1,241,499,959.89</w:t>
            </w:r>
          </w:p>
        </w:tc>
        <w:tc>
          <w:tcPr>
            <w:tcW w:w="3213" w:type="dxa"/>
            <w:tcBorders>
              <w:top w:val="single" w:color="auto" w:sz="2" w:space="0"/>
              <w:left w:val="single" w:color="auto" w:sz="2" w:space="0"/>
              <w:bottom w:val="single" w:color="auto" w:sz="2" w:space="0"/>
              <w:right w:val="single" w:color="auto" w:sz="2" w:space="0"/>
            </w:tcBorders>
            <w:vAlign w:val="center"/>
          </w:tcPr>
          <w:p w14:paraId="23A143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1,250,663,250.85</w:t>
            </w:r>
          </w:p>
        </w:tc>
      </w:tr>
      <w:tr w14:paraId="383090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26AC9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14:paraId="5D817A6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1,566,449,343.92</w:t>
            </w:r>
          </w:p>
        </w:tc>
        <w:tc>
          <w:tcPr>
            <w:tcW w:w="3213" w:type="dxa"/>
            <w:tcBorders>
              <w:top w:val="single" w:color="auto" w:sz="2" w:space="0"/>
              <w:left w:val="single" w:color="auto" w:sz="2" w:space="0"/>
              <w:bottom w:val="single" w:color="auto" w:sz="2" w:space="0"/>
              <w:right w:val="single" w:color="auto" w:sz="2" w:space="0"/>
            </w:tcBorders>
            <w:vAlign w:val="center"/>
          </w:tcPr>
          <w:p w14:paraId="3BA9B9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1,614,712,838.12</w:t>
            </w:r>
          </w:p>
        </w:tc>
      </w:tr>
      <w:tr w14:paraId="358149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EED60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2FD7EE">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FB7AD2">
            <w:pPr>
              <w:rPr>
                <w:color w:val="auto"/>
              </w:rPr>
            </w:pPr>
          </w:p>
        </w:tc>
      </w:tr>
      <w:tr w14:paraId="758608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342FBA">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14:paraId="3F4682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77,943,885.14</w:t>
            </w:r>
          </w:p>
        </w:tc>
        <w:tc>
          <w:tcPr>
            <w:tcW w:w="3213" w:type="dxa"/>
            <w:tcBorders>
              <w:top w:val="single" w:color="auto" w:sz="2" w:space="0"/>
              <w:left w:val="single" w:color="auto" w:sz="2" w:space="0"/>
              <w:bottom w:val="single" w:color="auto" w:sz="2" w:space="0"/>
              <w:right w:val="single" w:color="auto" w:sz="2" w:space="0"/>
            </w:tcBorders>
            <w:vAlign w:val="center"/>
          </w:tcPr>
          <w:p w14:paraId="02C503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135,132,784.72</w:t>
            </w:r>
          </w:p>
        </w:tc>
      </w:tr>
      <w:tr w14:paraId="3A941C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4BA96B">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1498401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82A7ED7">
            <w:pPr>
              <w:spacing w:before="0" w:after="0" w:line="240" w:lineRule="exact"/>
              <w:jc w:val="right"/>
              <w:rPr>
                <w:rFonts w:ascii="宋体" w:hAnsi="宋体" w:eastAsia="宋体" w:cs="宋体"/>
                <w:color w:val="auto"/>
                <w:sz w:val="18"/>
                <w:szCs w:val="18"/>
              </w:rPr>
            </w:pPr>
          </w:p>
        </w:tc>
      </w:tr>
      <w:tr w14:paraId="62C0E3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BE75E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2D981D4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7360AB7">
            <w:pPr>
              <w:spacing w:before="0" w:after="0" w:line="240" w:lineRule="exact"/>
              <w:jc w:val="right"/>
              <w:rPr>
                <w:rFonts w:ascii="宋体" w:hAnsi="宋体" w:eastAsia="宋体" w:cs="宋体"/>
                <w:color w:val="auto"/>
                <w:sz w:val="18"/>
                <w:szCs w:val="18"/>
              </w:rPr>
            </w:pPr>
          </w:p>
        </w:tc>
      </w:tr>
      <w:tr w14:paraId="60C0F9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C4EA09">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14:paraId="0182347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D9B6D92">
            <w:pPr>
              <w:spacing w:before="0" w:after="0" w:line="240" w:lineRule="exact"/>
              <w:jc w:val="right"/>
              <w:rPr>
                <w:rFonts w:ascii="宋体" w:hAnsi="宋体" w:eastAsia="宋体" w:cs="宋体"/>
                <w:color w:val="auto"/>
                <w:sz w:val="18"/>
                <w:szCs w:val="18"/>
              </w:rPr>
            </w:pPr>
          </w:p>
        </w:tc>
      </w:tr>
      <w:tr w14:paraId="2C570C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FFB31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14:paraId="0F5597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111,310,054.50</w:t>
            </w:r>
          </w:p>
        </w:tc>
        <w:tc>
          <w:tcPr>
            <w:tcW w:w="3213" w:type="dxa"/>
            <w:tcBorders>
              <w:top w:val="single" w:color="auto" w:sz="2" w:space="0"/>
              <w:left w:val="single" w:color="auto" w:sz="2" w:space="0"/>
              <w:bottom w:val="single" w:color="auto" w:sz="2" w:space="0"/>
              <w:right w:val="single" w:color="auto" w:sz="2" w:space="0"/>
            </w:tcBorders>
            <w:vAlign w:val="center"/>
          </w:tcPr>
          <w:p w14:paraId="1B85D11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84,642,445.16</w:t>
            </w:r>
          </w:p>
        </w:tc>
      </w:tr>
      <w:tr w14:paraId="2503C9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1875A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14:paraId="7DDEA56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5,948.41</w:t>
            </w:r>
          </w:p>
        </w:tc>
        <w:tc>
          <w:tcPr>
            <w:tcW w:w="3213" w:type="dxa"/>
            <w:tcBorders>
              <w:top w:val="single" w:color="auto" w:sz="2" w:space="0"/>
              <w:left w:val="single" w:color="auto" w:sz="2" w:space="0"/>
              <w:bottom w:val="single" w:color="auto" w:sz="2" w:space="0"/>
              <w:right w:val="single" w:color="auto" w:sz="2" w:space="0"/>
            </w:tcBorders>
            <w:vAlign w:val="center"/>
          </w:tcPr>
          <w:p w14:paraId="6032521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9,017.89</w:t>
            </w:r>
          </w:p>
        </w:tc>
      </w:tr>
      <w:tr w14:paraId="61D915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E2C54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1F25236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3,144,646.71</w:t>
            </w:r>
          </w:p>
        </w:tc>
        <w:tc>
          <w:tcPr>
            <w:tcW w:w="3213" w:type="dxa"/>
            <w:tcBorders>
              <w:top w:val="single" w:color="auto" w:sz="2" w:space="0"/>
              <w:left w:val="single" w:color="auto" w:sz="2" w:space="0"/>
              <w:bottom w:val="single" w:color="auto" w:sz="2" w:space="0"/>
              <w:right w:val="single" w:color="auto" w:sz="2" w:space="0"/>
            </w:tcBorders>
            <w:vAlign w:val="center"/>
          </w:tcPr>
          <w:p w14:paraId="27BE48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1,809,742.74</w:t>
            </w:r>
          </w:p>
        </w:tc>
      </w:tr>
      <w:tr w14:paraId="44B86C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D8606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0E08A8B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2,191,155.63</w:t>
            </w:r>
          </w:p>
        </w:tc>
        <w:tc>
          <w:tcPr>
            <w:tcW w:w="3213" w:type="dxa"/>
            <w:tcBorders>
              <w:top w:val="single" w:color="auto" w:sz="2" w:space="0"/>
              <w:left w:val="single" w:color="auto" w:sz="2" w:space="0"/>
              <w:bottom w:val="single" w:color="auto" w:sz="2" w:space="0"/>
              <w:right w:val="single" w:color="auto" w:sz="2" w:space="0"/>
            </w:tcBorders>
            <w:vAlign w:val="center"/>
          </w:tcPr>
          <w:p w14:paraId="6B124A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4,999,099.15</w:t>
            </w:r>
          </w:p>
        </w:tc>
      </w:tr>
      <w:tr w14:paraId="484D00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E57F2D">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14:paraId="33EDCB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2,001,262.18</w:t>
            </w:r>
          </w:p>
        </w:tc>
        <w:tc>
          <w:tcPr>
            <w:tcW w:w="3213" w:type="dxa"/>
            <w:tcBorders>
              <w:top w:val="single" w:color="auto" w:sz="2" w:space="0"/>
              <w:left w:val="single" w:color="auto" w:sz="2" w:space="0"/>
              <w:bottom w:val="single" w:color="auto" w:sz="2" w:space="0"/>
              <w:right w:val="single" w:color="auto" w:sz="2" w:space="0"/>
            </w:tcBorders>
            <w:vAlign w:val="center"/>
          </w:tcPr>
          <w:p w14:paraId="4095D2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2,689,826.66</w:t>
            </w:r>
          </w:p>
        </w:tc>
      </w:tr>
      <w:tr w14:paraId="1CC12E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3EB11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2F9658B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15,404,243.11</w:t>
            </w:r>
          </w:p>
        </w:tc>
        <w:tc>
          <w:tcPr>
            <w:tcW w:w="3213" w:type="dxa"/>
            <w:tcBorders>
              <w:top w:val="single" w:color="auto" w:sz="2" w:space="0"/>
              <w:left w:val="single" w:color="auto" w:sz="2" w:space="0"/>
              <w:bottom w:val="single" w:color="auto" w:sz="2" w:space="0"/>
              <w:right w:val="single" w:color="auto" w:sz="2" w:space="0"/>
            </w:tcBorders>
            <w:vAlign w:val="center"/>
          </w:tcPr>
          <w:p w14:paraId="4DF034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15,234,089.38</w:t>
            </w:r>
          </w:p>
        </w:tc>
      </w:tr>
      <w:tr w14:paraId="6CA281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866561">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408D904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1B7DDA6">
            <w:pPr>
              <w:spacing w:before="0" w:after="0" w:line="240" w:lineRule="exact"/>
              <w:jc w:val="right"/>
              <w:rPr>
                <w:rFonts w:ascii="宋体" w:hAnsi="宋体" w:eastAsia="宋体" w:cs="宋体"/>
                <w:color w:val="auto"/>
                <w:sz w:val="18"/>
                <w:szCs w:val="18"/>
              </w:rPr>
            </w:pPr>
          </w:p>
        </w:tc>
      </w:tr>
      <w:tr w14:paraId="6BF9EA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28818F">
            <w:pPr>
              <w:spacing w:before="40" w:after="4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06F33E77">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C7B3A7C">
            <w:pPr>
              <w:spacing w:before="0" w:after="0" w:line="240" w:lineRule="exact"/>
              <w:jc w:val="right"/>
              <w:rPr>
                <w:rFonts w:ascii="宋体" w:hAnsi="宋体" w:eastAsia="宋体" w:cs="宋体"/>
                <w:color w:val="auto"/>
                <w:sz w:val="18"/>
                <w:szCs w:val="18"/>
              </w:rPr>
            </w:pPr>
          </w:p>
        </w:tc>
      </w:tr>
      <w:tr w14:paraId="7FFC9F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AC762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14:paraId="633EF997">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B0FC66C">
            <w:pPr>
              <w:spacing w:before="0" w:after="0" w:line="240" w:lineRule="exact"/>
              <w:jc w:val="right"/>
              <w:rPr>
                <w:rFonts w:ascii="宋体" w:hAnsi="宋体" w:eastAsia="宋体" w:cs="宋体"/>
                <w:color w:val="auto"/>
                <w:sz w:val="18"/>
                <w:szCs w:val="18"/>
              </w:rPr>
            </w:pPr>
          </w:p>
        </w:tc>
      </w:tr>
      <w:tr w14:paraId="34724E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94AD8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766EC8D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130,987,669.67</w:t>
            </w:r>
          </w:p>
        </w:tc>
        <w:tc>
          <w:tcPr>
            <w:tcW w:w="3213" w:type="dxa"/>
            <w:tcBorders>
              <w:top w:val="single" w:color="auto" w:sz="2" w:space="0"/>
              <w:left w:val="single" w:color="auto" w:sz="2" w:space="0"/>
              <w:bottom w:val="single" w:color="auto" w:sz="2" w:space="0"/>
              <w:right w:val="single" w:color="auto" w:sz="2" w:space="0"/>
            </w:tcBorders>
            <w:vAlign w:val="center"/>
          </w:tcPr>
          <w:p w14:paraId="63FE41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118,017,355.78</w:t>
            </w:r>
          </w:p>
        </w:tc>
      </w:tr>
      <w:tr w14:paraId="16B6E1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47EBB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2FA391F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239,271.79</w:t>
            </w:r>
          </w:p>
        </w:tc>
        <w:tc>
          <w:tcPr>
            <w:tcW w:w="3213" w:type="dxa"/>
            <w:tcBorders>
              <w:top w:val="single" w:color="auto" w:sz="2" w:space="0"/>
              <w:left w:val="single" w:color="auto" w:sz="2" w:space="0"/>
              <w:bottom w:val="single" w:color="auto" w:sz="2" w:space="0"/>
              <w:right w:val="single" w:color="auto" w:sz="2" w:space="0"/>
            </w:tcBorders>
            <w:vAlign w:val="center"/>
          </w:tcPr>
          <w:p w14:paraId="69F2864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153,742.13</w:t>
            </w:r>
          </w:p>
        </w:tc>
      </w:tr>
      <w:tr w14:paraId="3D08FD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07FC8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087EA20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343,228,137.14</w:t>
            </w:r>
          </w:p>
        </w:tc>
        <w:tc>
          <w:tcPr>
            <w:tcW w:w="3213" w:type="dxa"/>
            <w:tcBorders>
              <w:top w:val="single" w:color="auto" w:sz="2" w:space="0"/>
              <w:left w:val="single" w:color="auto" w:sz="2" w:space="0"/>
              <w:bottom w:val="single" w:color="auto" w:sz="2" w:space="0"/>
              <w:right w:val="single" w:color="auto" w:sz="2" w:space="0"/>
            </w:tcBorders>
            <w:vAlign w:val="center"/>
          </w:tcPr>
          <w:p w14:paraId="3B04EF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362,688,103.61</w:t>
            </w:r>
          </w:p>
        </w:tc>
      </w:tr>
      <w:tr w14:paraId="3849B0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39475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83E7A1">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C5F617">
            <w:pPr>
              <w:rPr>
                <w:color w:val="auto"/>
              </w:rPr>
            </w:pPr>
          </w:p>
        </w:tc>
      </w:tr>
      <w:tr w14:paraId="252298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40821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00F2C38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137,083,600.00</w:t>
            </w:r>
          </w:p>
        </w:tc>
        <w:tc>
          <w:tcPr>
            <w:tcW w:w="3213" w:type="dxa"/>
            <w:tcBorders>
              <w:top w:val="single" w:color="auto" w:sz="2" w:space="0"/>
              <w:left w:val="single" w:color="auto" w:sz="2" w:space="0"/>
              <w:bottom w:val="single" w:color="auto" w:sz="2" w:space="0"/>
              <w:right w:val="single" w:color="auto" w:sz="2" w:space="0"/>
            </w:tcBorders>
            <w:vAlign w:val="center"/>
          </w:tcPr>
          <w:p w14:paraId="775778A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142,363,100.00</w:t>
            </w:r>
          </w:p>
        </w:tc>
      </w:tr>
      <w:tr w14:paraId="7E559B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4AE76B">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14:paraId="10E6C69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CF3756F">
            <w:pPr>
              <w:spacing w:before="0" w:after="0" w:line="240" w:lineRule="exact"/>
              <w:jc w:val="right"/>
              <w:rPr>
                <w:rFonts w:ascii="宋体" w:hAnsi="宋体" w:eastAsia="宋体" w:cs="宋体"/>
                <w:color w:val="auto"/>
                <w:sz w:val="18"/>
                <w:szCs w:val="18"/>
              </w:rPr>
            </w:pPr>
          </w:p>
        </w:tc>
      </w:tr>
      <w:tr w14:paraId="782D33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78EEB3">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5F3DF77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4C18333">
            <w:pPr>
              <w:spacing w:before="0" w:after="0" w:line="240" w:lineRule="exact"/>
              <w:jc w:val="right"/>
              <w:rPr>
                <w:rFonts w:ascii="宋体" w:hAnsi="宋体" w:eastAsia="宋体" w:cs="宋体"/>
                <w:color w:val="auto"/>
                <w:sz w:val="18"/>
                <w:szCs w:val="18"/>
              </w:rPr>
            </w:pPr>
          </w:p>
        </w:tc>
      </w:tr>
      <w:tr w14:paraId="255995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C780AC">
            <w:pPr>
              <w:spacing w:before="40" w:after="4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46F30DC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A5A6EB">
            <w:pPr>
              <w:spacing w:before="0" w:after="0" w:line="240" w:lineRule="exact"/>
              <w:jc w:val="right"/>
              <w:rPr>
                <w:rFonts w:ascii="宋体" w:hAnsi="宋体" w:eastAsia="宋体" w:cs="宋体"/>
                <w:color w:val="auto"/>
                <w:sz w:val="18"/>
                <w:szCs w:val="18"/>
              </w:rPr>
            </w:pPr>
          </w:p>
        </w:tc>
      </w:tr>
      <w:tr w14:paraId="51938F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4E6DC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7A75C877">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93BD2DD">
            <w:pPr>
              <w:spacing w:before="0" w:after="0" w:line="240" w:lineRule="exact"/>
              <w:jc w:val="right"/>
              <w:rPr>
                <w:rFonts w:ascii="宋体" w:hAnsi="宋体" w:eastAsia="宋体" w:cs="宋体"/>
                <w:color w:val="auto"/>
                <w:sz w:val="18"/>
                <w:szCs w:val="18"/>
              </w:rPr>
            </w:pPr>
          </w:p>
        </w:tc>
      </w:tr>
      <w:tr w14:paraId="633E89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C3738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74FAB74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927BA8">
            <w:pPr>
              <w:spacing w:before="0" w:after="0" w:line="240" w:lineRule="exact"/>
              <w:jc w:val="right"/>
              <w:rPr>
                <w:rFonts w:ascii="宋体" w:hAnsi="宋体" w:eastAsia="宋体" w:cs="宋体"/>
                <w:color w:val="auto"/>
                <w:sz w:val="18"/>
                <w:szCs w:val="18"/>
              </w:rPr>
            </w:pPr>
          </w:p>
        </w:tc>
      </w:tr>
      <w:tr w14:paraId="3601A6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44794B">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6EB6422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4F11BA">
            <w:pPr>
              <w:spacing w:before="0" w:after="0" w:line="240" w:lineRule="exact"/>
              <w:jc w:val="right"/>
              <w:rPr>
                <w:rFonts w:ascii="宋体" w:hAnsi="宋体" w:eastAsia="宋体" w:cs="宋体"/>
                <w:color w:val="auto"/>
                <w:sz w:val="18"/>
                <w:szCs w:val="18"/>
              </w:rPr>
            </w:pPr>
          </w:p>
        </w:tc>
      </w:tr>
      <w:tr w14:paraId="11E5C2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AA720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14:paraId="7452FF9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AEF0F9">
            <w:pPr>
              <w:spacing w:before="0" w:after="0" w:line="240" w:lineRule="exact"/>
              <w:jc w:val="right"/>
              <w:rPr>
                <w:rFonts w:ascii="宋体" w:hAnsi="宋体" w:eastAsia="宋体" w:cs="宋体"/>
                <w:color w:val="auto"/>
                <w:sz w:val="18"/>
                <w:szCs w:val="18"/>
              </w:rPr>
            </w:pPr>
          </w:p>
        </w:tc>
      </w:tr>
      <w:tr w14:paraId="01333F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F0FBEA">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14:paraId="5FC5029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13,055,371.76</w:t>
            </w:r>
          </w:p>
        </w:tc>
        <w:tc>
          <w:tcPr>
            <w:tcW w:w="3213" w:type="dxa"/>
            <w:tcBorders>
              <w:top w:val="single" w:color="auto" w:sz="2" w:space="0"/>
              <w:left w:val="single" w:color="auto" w:sz="2" w:space="0"/>
              <w:bottom w:val="single" w:color="auto" w:sz="2" w:space="0"/>
              <w:right w:val="single" w:color="auto" w:sz="2" w:space="0"/>
            </w:tcBorders>
            <w:vAlign w:val="center"/>
          </w:tcPr>
          <w:p w14:paraId="6817A5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12,187,584.07</w:t>
            </w:r>
          </w:p>
        </w:tc>
      </w:tr>
      <w:tr w14:paraId="61ECCE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1A284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03C91AC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350,333.08</w:t>
            </w:r>
          </w:p>
        </w:tc>
        <w:tc>
          <w:tcPr>
            <w:tcW w:w="3213" w:type="dxa"/>
            <w:tcBorders>
              <w:top w:val="single" w:color="auto" w:sz="2" w:space="0"/>
              <w:left w:val="single" w:color="auto" w:sz="2" w:space="0"/>
              <w:bottom w:val="single" w:color="auto" w:sz="2" w:space="0"/>
              <w:right w:val="single" w:color="auto" w:sz="2" w:space="0"/>
            </w:tcBorders>
            <w:vAlign w:val="center"/>
          </w:tcPr>
          <w:p w14:paraId="5F4FC35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419,247.25</w:t>
            </w:r>
          </w:p>
        </w:tc>
      </w:tr>
      <w:tr w14:paraId="54D6B5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4B810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64CB909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44,048,888.89</w:t>
            </w:r>
          </w:p>
        </w:tc>
        <w:tc>
          <w:tcPr>
            <w:tcW w:w="3213" w:type="dxa"/>
            <w:tcBorders>
              <w:top w:val="single" w:color="auto" w:sz="2" w:space="0"/>
              <w:left w:val="single" w:color="auto" w:sz="2" w:space="0"/>
              <w:bottom w:val="single" w:color="auto" w:sz="2" w:space="0"/>
              <w:right w:val="single" w:color="auto" w:sz="2" w:space="0"/>
            </w:tcBorders>
            <w:vAlign w:val="center"/>
          </w:tcPr>
          <w:p w14:paraId="303ECE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35,200,000.00</w:t>
            </w:r>
          </w:p>
        </w:tc>
      </w:tr>
      <w:tr w14:paraId="157A0C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D017F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6658A2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194,538,193.73</w:t>
            </w:r>
          </w:p>
        </w:tc>
        <w:tc>
          <w:tcPr>
            <w:tcW w:w="3213" w:type="dxa"/>
            <w:tcBorders>
              <w:top w:val="single" w:color="auto" w:sz="2" w:space="0"/>
              <w:left w:val="single" w:color="auto" w:sz="2" w:space="0"/>
              <w:bottom w:val="single" w:color="auto" w:sz="2" w:space="0"/>
              <w:right w:val="single" w:color="auto" w:sz="2" w:space="0"/>
            </w:tcBorders>
            <w:vAlign w:val="center"/>
          </w:tcPr>
          <w:p w14:paraId="4DDB030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190,169,931.32</w:t>
            </w:r>
          </w:p>
        </w:tc>
      </w:tr>
      <w:tr w14:paraId="167CB2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17F44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4789721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537,766,330.87</w:t>
            </w:r>
          </w:p>
        </w:tc>
        <w:tc>
          <w:tcPr>
            <w:tcW w:w="3213" w:type="dxa"/>
            <w:tcBorders>
              <w:top w:val="single" w:color="auto" w:sz="2" w:space="0"/>
              <w:left w:val="single" w:color="auto" w:sz="2" w:space="0"/>
              <w:bottom w:val="single" w:color="auto" w:sz="2" w:space="0"/>
              <w:right w:val="single" w:color="auto" w:sz="2" w:space="0"/>
            </w:tcBorders>
            <w:vAlign w:val="center"/>
          </w:tcPr>
          <w:p w14:paraId="6F7339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552,858,034.93</w:t>
            </w:r>
          </w:p>
        </w:tc>
      </w:tr>
      <w:tr w14:paraId="56048C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E5A0A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ADCA90">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58A28E">
            <w:pPr>
              <w:rPr>
                <w:color w:val="auto"/>
              </w:rPr>
            </w:pPr>
          </w:p>
        </w:tc>
      </w:tr>
      <w:tr w14:paraId="75B408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ED6D95">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股本</w:t>
            </w:r>
          </w:p>
        </w:tc>
        <w:tc>
          <w:tcPr>
            <w:tcW w:w="3213" w:type="dxa"/>
            <w:tcBorders>
              <w:top w:val="single" w:color="auto" w:sz="2" w:space="0"/>
              <w:left w:val="single" w:color="auto" w:sz="2" w:space="0"/>
              <w:bottom w:val="single" w:color="auto" w:sz="2" w:space="0"/>
              <w:right w:val="single" w:color="auto" w:sz="2" w:space="0"/>
            </w:tcBorders>
            <w:vAlign w:val="center"/>
          </w:tcPr>
          <w:p w14:paraId="3A4FFB7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3213" w:type="dxa"/>
            <w:tcBorders>
              <w:top w:val="single" w:color="auto" w:sz="2" w:space="0"/>
              <w:left w:val="single" w:color="auto" w:sz="2" w:space="0"/>
              <w:bottom w:val="single" w:color="auto" w:sz="2" w:space="0"/>
              <w:right w:val="single" w:color="auto" w:sz="2" w:space="0"/>
            </w:tcBorders>
            <w:vAlign w:val="center"/>
          </w:tcPr>
          <w:p w14:paraId="02F5409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r>
      <w:tr w14:paraId="48464C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66BA68">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14:paraId="07ED8D5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E06C3C7">
            <w:pPr>
              <w:spacing w:before="0" w:after="0" w:line="240" w:lineRule="exact"/>
              <w:jc w:val="right"/>
              <w:rPr>
                <w:rFonts w:ascii="宋体" w:hAnsi="宋体" w:eastAsia="宋体" w:cs="宋体"/>
                <w:color w:val="auto"/>
                <w:sz w:val="18"/>
                <w:szCs w:val="18"/>
              </w:rPr>
            </w:pPr>
          </w:p>
        </w:tc>
      </w:tr>
      <w:tr w14:paraId="04B1C4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5C5C2F">
            <w:pPr>
              <w:spacing w:before="0" w:after="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2F58FD1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7C8FB7">
            <w:pPr>
              <w:spacing w:before="0" w:after="0" w:line="240" w:lineRule="exact"/>
              <w:jc w:val="right"/>
              <w:rPr>
                <w:rFonts w:ascii="宋体" w:hAnsi="宋体" w:eastAsia="宋体" w:cs="宋体"/>
                <w:color w:val="auto"/>
                <w:sz w:val="18"/>
                <w:szCs w:val="18"/>
              </w:rPr>
            </w:pPr>
          </w:p>
        </w:tc>
      </w:tr>
      <w:tr w14:paraId="36487C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EC3E10">
            <w:pPr>
              <w:spacing w:before="0" w:after="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18BC0DB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A841D6">
            <w:pPr>
              <w:spacing w:before="0" w:after="0" w:line="240" w:lineRule="exact"/>
              <w:jc w:val="right"/>
              <w:rPr>
                <w:rFonts w:ascii="宋体" w:hAnsi="宋体" w:eastAsia="宋体" w:cs="宋体"/>
                <w:color w:val="auto"/>
                <w:sz w:val="18"/>
                <w:szCs w:val="18"/>
              </w:rPr>
            </w:pPr>
          </w:p>
        </w:tc>
      </w:tr>
      <w:tr w14:paraId="6EFC4B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B55B5E">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14:paraId="4E0D10D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674,998,795.84</w:t>
            </w:r>
          </w:p>
        </w:tc>
        <w:tc>
          <w:tcPr>
            <w:tcW w:w="3213" w:type="dxa"/>
            <w:tcBorders>
              <w:top w:val="single" w:color="auto" w:sz="2" w:space="0"/>
              <w:left w:val="single" w:color="auto" w:sz="2" w:space="0"/>
              <w:bottom w:val="single" w:color="auto" w:sz="2" w:space="0"/>
              <w:right w:val="single" w:color="auto" w:sz="2" w:space="0"/>
            </w:tcBorders>
            <w:vAlign w:val="center"/>
          </w:tcPr>
          <w:p w14:paraId="0AF9F8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675,753,512.82</w:t>
            </w:r>
          </w:p>
        </w:tc>
      </w:tr>
      <w:tr w14:paraId="55DAC0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E776DF">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14:paraId="1B9034E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784F136">
            <w:pPr>
              <w:spacing w:before="0" w:after="0" w:line="240" w:lineRule="exact"/>
              <w:jc w:val="right"/>
              <w:rPr>
                <w:rFonts w:ascii="宋体" w:hAnsi="宋体" w:eastAsia="宋体" w:cs="宋体"/>
                <w:color w:val="auto"/>
                <w:sz w:val="18"/>
                <w:szCs w:val="18"/>
              </w:rPr>
            </w:pPr>
          </w:p>
        </w:tc>
      </w:tr>
      <w:tr w14:paraId="34DEED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BCDD92">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170F139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4D3B988">
            <w:pPr>
              <w:spacing w:before="0" w:after="0" w:line="240" w:lineRule="exact"/>
              <w:jc w:val="right"/>
              <w:rPr>
                <w:rFonts w:ascii="宋体" w:hAnsi="宋体" w:eastAsia="宋体" w:cs="宋体"/>
                <w:color w:val="auto"/>
                <w:sz w:val="18"/>
                <w:szCs w:val="18"/>
              </w:rPr>
            </w:pPr>
          </w:p>
        </w:tc>
      </w:tr>
      <w:tr w14:paraId="097CC8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E390C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14:paraId="22E6130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314A98">
            <w:pPr>
              <w:spacing w:before="0" w:after="0" w:line="240" w:lineRule="exact"/>
              <w:jc w:val="right"/>
              <w:rPr>
                <w:rFonts w:ascii="宋体" w:hAnsi="宋体" w:eastAsia="宋体" w:cs="宋体"/>
                <w:color w:val="auto"/>
                <w:sz w:val="18"/>
                <w:szCs w:val="18"/>
              </w:rPr>
            </w:pPr>
          </w:p>
        </w:tc>
      </w:tr>
      <w:tr w14:paraId="2FCC64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74D4D5">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14:paraId="6F1AA4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3213" w:type="dxa"/>
            <w:tcBorders>
              <w:top w:val="single" w:color="auto" w:sz="2" w:space="0"/>
              <w:left w:val="single" w:color="auto" w:sz="2" w:space="0"/>
              <w:bottom w:val="single" w:color="auto" w:sz="2" w:space="0"/>
              <w:right w:val="single" w:color="auto" w:sz="2" w:space="0"/>
            </w:tcBorders>
            <w:vAlign w:val="center"/>
          </w:tcPr>
          <w:p w14:paraId="32A75B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r>
      <w:tr w14:paraId="074156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4584C9">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70AE8E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150,023,383.90</w:t>
            </w:r>
          </w:p>
        </w:tc>
        <w:tc>
          <w:tcPr>
            <w:tcW w:w="3213" w:type="dxa"/>
            <w:tcBorders>
              <w:top w:val="single" w:color="auto" w:sz="2" w:space="0"/>
              <w:left w:val="single" w:color="auto" w:sz="2" w:space="0"/>
              <w:bottom w:val="single" w:color="auto" w:sz="2" w:space="0"/>
              <w:right w:val="single" w:color="auto" w:sz="2" w:space="0"/>
            </w:tcBorders>
            <w:vAlign w:val="center"/>
          </w:tcPr>
          <w:p w14:paraId="2C4846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182,440,457.06</w:t>
            </w:r>
          </w:p>
        </w:tc>
      </w:tr>
      <w:tr w14:paraId="179EFD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FAA64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5F15ACE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1,028,683,013.05</w:t>
            </w:r>
          </w:p>
        </w:tc>
        <w:tc>
          <w:tcPr>
            <w:tcW w:w="3213" w:type="dxa"/>
            <w:tcBorders>
              <w:top w:val="single" w:color="auto" w:sz="2" w:space="0"/>
              <w:left w:val="single" w:color="auto" w:sz="2" w:space="0"/>
              <w:bottom w:val="single" w:color="auto" w:sz="2" w:space="0"/>
              <w:right w:val="single" w:color="auto" w:sz="2" w:space="0"/>
            </w:tcBorders>
            <w:vAlign w:val="center"/>
          </w:tcPr>
          <w:p w14:paraId="0567D75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1,061,854,803.19</w:t>
            </w:r>
          </w:p>
        </w:tc>
      </w:tr>
      <w:tr w14:paraId="5AE96F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AD999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14:paraId="350991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1,566,449,343.92</w:t>
            </w:r>
          </w:p>
        </w:tc>
        <w:tc>
          <w:tcPr>
            <w:tcW w:w="3213" w:type="dxa"/>
            <w:tcBorders>
              <w:top w:val="single" w:color="auto" w:sz="2" w:space="0"/>
              <w:left w:val="single" w:color="auto" w:sz="2" w:space="0"/>
              <w:bottom w:val="single" w:color="auto" w:sz="2" w:space="0"/>
              <w:right w:val="single" w:color="auto" w:sz="2" w:space="0"/>
            </w:tcBorders>
            <w:vAlign w:val="center"/>
          </w:tcPr>
          <w:p w14:paraId="7AB16A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1,614,712,838.12</w:t>
            </w:r>
          </w:p>
        </w:tc>
      </w:tr>
    </w:tbl>
    <w:p w14:paraId="65767977">
      <w:pPr>
        <w:keepNext/>
        <w:keepLines/>
        <w:spacing w:before="300" w:after="300" w:line="280" w:lineRule="exact"/>
        <w:jc w:val="left"/>
        <w:outlineLvl w:val="2"/>
        <w:rPr>
          <w:rFonts w:ascii="宋体" w:hAnsi="宋体" w:eastAsia="宋体" w:cs="宋体"/>
          <w:b/>
          <w:bCs/>
          <w:color w:val="auto"/>
          <w:sz w:val="21"/>
          <w:szCs w:val="21"/>
        </w:rPr>
      </w:pPr>
      <w:bookmarkStart w:id="5" w:name="_Toc988981"/>
      <w:r>
        <w:rPr>
          <w:rFonts w:ascii="宋体" w:hAnsi="宋体" w:eastAsia="宋体" w:cs="宋体"/>
          <w:b/>
          <w:bCs/>
          <w:color w:val="auto"/>
          <w:sz w:val="21"/>
          <w:szCs w:val="21"/>
        </w:rPr>
        <w:t>3、合并利润表</w:t>
      </w:r>
      <w:bookmarkEnd w:id="5"/>
    </w:p>
    <w:p w14:paraId="3799C82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9A9B5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E3055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993B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2025年半年度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A6119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2024年半年度</w:t>
            </w:r>
          </w:p>
        </w:tc>
      </w:tr>
      <w:tr w14:paraId="636636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57851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一、营业总收入</w:t>
            </w:r>
          </w:p>
        </w:tc>
        <w:tc>
          <w:tcPr>
            <w:tcW w:w="3213" w:type="dxa"/>
            <w:tcBorders>
              <w:top w:val="single" w:color="auto" w:sz="2" w:space="0"/>
              <w:left w:val="single" w:color="auto" w:sz="2" w:space="0"/>
              <w:bottom w:val="single" w:color="auto" w:sz="2" w:space="0"/>
              <w:right w:val="single" w:color="auto" w:sz="2" w:space="0"/>
            </w:tcBorders>
            <w:vAlign w:val="center"/>
          </w:tcPr>
          <w:p w14:paraId="716E9F4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208,857,590.44</w:t>
            </w:r>
          </w:p>
        </w:tc>
        <w:tc>
          <w:tcPr>
            <w:tcW w:w="3213" w:type="dxa"/>
            <w:tcBorders>
              <w:top w:val="single" w:color="auto" w:sz="2" w:space="0"/>
              <w:left w:val="single" w:color="auto" w:sz="2" w:space="0"/>
              <w:bottom w:val="single" w:color="auto" w:sz="2" w:space="0"/>
              <w:right w:val="single" w:color="auto" w:sz="2" w:space="0"/>
            </w:tcBorders>
            <w:vAlign w:val="center"/>
          </w:tcPr>
          <w:p w14:paraId="4BE731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218,178,671.51</w:t>
            </w:r>
          </w:p>
        </w:tc>
      </w:tr>
      <w:tr w14:paraId="200AF7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38387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其中：营业收入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2A9A33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208,857,590.44</w:t>
            </w:r>
          </w:p>
        </w:tc>
        <w:tc>
          <w:tcPr>
            <w:tcW w:w="3213" w:type="dxa"/>
            <w:tcBorders>
              <w:top w:val="single" w:color="auto" w:sz="2" w:space="0"/>
              <w:left w:val="single" w:color="auto" w:sz="2" w:space="0"/>
              <w:bottom w:val="single" w:color="auto" w:sz="2" w:space="0"/>
              <w:right w:val="single" w:color="auto" w:sz="2" w:space="0"/>
            </w:tcBorders>
            <w:vAlign w:val="center"/>
          </w:tcPr>
          <w:p w14:paraId="3F79FC4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218,178,671.51</w:t>
            </w:r>
          </w:p>
        </w:tc>
      </w:tr>
      <w:tr w14:paraId="5FA9C4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2B431E">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79D150F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F6525B7">
            <w:pPr>
              <w:spacing w:before="0" w:after="0" w:line="240" w:lineRule="exact"/>
              <w:jc w:val="right"/>
              <w:rPr>
                <w:rFonts w:ascii="宋体" w:hAnsi="宋体" w:eastAsia="宋体" w:cs="宋体"/>
                <w:color w:val="auto"/>
                <w:sz w:val="18"/>
                <w:szCs w:val="18"/>
              </w:rPr>
            </w:pPr>
          </w:p>
        </w:tc>
      </w:tr>
      <w:tr w14:paraId="228C2E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2D01A4">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已赚保费</w:t>
            </w:r>
          </w:p>
        </w:tc>
        <w:tc>
          <w:tcPr>
            <w:tcW w:w="3213" w:type="dxa"/>
            <w:tcBorders>
              <w:top w:val="single" w:color="auto" w:sz="2" w:space="0"/>
              <w:left w:val="single" w:color="auto" w:sz="2" w:space="0"/>
              <w:bottom w:val="single" w:color="auto" w:sz="2" w:space="0"/>
              <w:right w:val="single" w:color="auto" w:sz="2" w:space="0"/>
            </w:tcBorders>
            <w:vAlign w:val="center"/>
          </w:tcPr>
          <w:p w14:paraId="1BCA284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F050D9">
            <w:pPr>
              <w:spacing w:before="0" w:after="0" w:line="240" w:lineRule="exact"/>
              <w:jc w:val="right"/>
              <w:rPr>
                <w:rFonts w:ascii="宋体" w:hAnsi="宋体" w:eastAsia="宋体" w:cs="宋体"/>
                <w:color w:val="auto"/>
                <w:sz w:val="18"/>
                <w:szCs w:val="18"/>
              </w:rPr>
            </w:pPr>
          </w:p>
        </w:tc>
      </w:tr>
      <w:tr w14:paraId="0BE4BF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CDB279">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手续费及佣金收入</w:t>
            </w:r>
          </w:p>
        </w:tc>
        <w:tc>
          <w:tcPr>
            <w:tcW w:w="3213" w:type="dxa"/>
            <w:tcBorders>
              <w:top w:val="single" w:color="auto" w:sz="2" w:space="0"/>
              <w:left w:val="single" w:color="auto" w:sz="2" w:space="0"/>
              <w:bottom w:val="single" w:color="auto" w:sz="2" w:space="0"/>
              <w:right w:val="single" w:color="auto" w:sz="2" w:space="0"/>
            </w:tcBorders>
            <w:vAlign w:val="center"/>
          </w:tcPr>
          <w:p w14:paraId="1C49FCA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7BA28D">
            <w:pPr>
              <w:spacing w:before="0" w:after="0" w:line="240" w:lineRule="exact"/>
              <w:jc w:val="right"/>
              <w:rPr>
                <w:rFonts w:ascii="宋体" w:hAnsi="宋体" w:eastAsia="宋体" w:cs="宋体"/>
                <w:color w:val="auto"/>
                <w:sz w:val="18"/>
                <w:szCs w:val="18"/>
              </w:rPr>
            </w:pPr>
          </w:p>
        </w:tc>
      </w:tr>
      <w:tr w14:paraId="7A13A2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10005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二、营业总成本</w:t>
            </w:r>
          </w:p>
        </w:tc>
        <w:tc>
          <w:tcPr>
            <w:tcW w:w="3213" w:type="dxa"/>
            <w:tcBorders>
              <w:top w:val="single" w:color="auto" w:sz="2" w:space="0"/>
              <w:left w:val="single" w:color="auto" w:sz="2" w:space="0"/>
              <w:bottom w:val="single" w:color="auto" w:sz="2" w:space="0"/>
              <w:right w:val="single" w:color="auto" w:sz="2" w:space="0"/>
            </w:tcBorders>
            <w:vAlign w:val="center"/>
          </w:tcPr>
          <w:p w14:paraId="226AA27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268,065,510.67</w:t>
            </w:r>
          </w:p>
        </w:tc>
        <w:tc>
          <w:tcPr>
            <w:tcW w:w="3213" w:type="dxa"/>
            <w:tcBorders>
              <w:top w:val="single" w:color="auto" w:sz="2" w:space="0"/>
              <w:left w:val="single" w:color="auto" w:sz="2" w:space="0"/>
              <w:bottom w:val="single" w:color="auto" w:sz="2" w:space="0"/>
              <w:right w:val="single" w:color="auto" w:sz="2" w:space="0"/>
            </w:tcBorders>
            <w:vAlign w:val="center"/>
          </w:tcPr>
          <w:p w14:paraId="79D356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264,171,889.77</w:t>
            </w:r>
          </w:p>
        </w:tc>
      </w:tr>
      <w:tr w14:paraId="47BCA4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342EF8">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其中：营业成本</w:t>
            </w:r>
          </w:p>
        </w:tc>
        <w:tc>
          <w:tcPr>
            <w:tcW w:w="3213" w:type="dxa"/>
            <w:tcBorders>
              <w:top w:val="single" w:color="auto" w:sz="2" w:space="0"/>
              <w:left w:val="single" w:color="auto" w:sz="2" w:space="0"/>
              <w:bottom w:val="single" w:color="auto" w:sz="2" w:space="0"/>
              <w:right w:val="single" w:color="auto" w:sz="2" w:space="0"/>
            </w:tcBorders>
            <w:vAlign w:val="center"/>
          </w:tcPr>
          <w:p w14:paraId="335AB48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81,274,353.45</w:t>
            </w:r>
          </w:p>
        </w:tc>
        <w:tc>
          <w:tcPr>
            <w:tcW w:w="3213" w:type="dxa"/>
            <w:tcBorders>
              <w:top w:val="single" w:color="auto" w:sz="2" w:space="0"/>
              <w:left w:val="single" w:color="auto" w:sz="2" w:space="0"/>
              <w:bottom w:val="single" w:color="auto" w:sz="2" w:space="0"/>
              <w:right w:val="single" w:color="auto" w:sz="2" w:space="0"/>
            </w:tcBorders>
            <w:vAlign w:val="center"/>
          </w:tcPr>
          <w:p w14:paraId="7D7079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84,597,484.41</w:t>
            </w:r>
          </w:p>
        </w:tc>
      </w:tr>
      <w:tr w14:paraId="0E768B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3F9497">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利息支出</w:t>
            </w:r>
          </w:p>
        </w:tc>
        <w:tc>
          <w:tcPr>
            <w:tcW w:w="3213" w:type="dxa"/>
            <w:tcBorders>
              <w:top w:val="single" w:color="auto" w:sz="2" w:space="0"/>
              <w:left w:val="single" w:color="auto" w:sz="2" w:space="0"/>
              <w:bottom w:val="single" w:color="auto" w:sz="2" w:space="0"/>
              <w:right w:val="single" w:color="auto" w:sz="2" w:space="0"/>
            </w:tcBorders>
            <w:vAlign w:val="center"/>
          </w:tcPr>
          <w:p w14:paraId="76E5FB1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78584A">
            <w:pPr>
              <w:spacing w:before="0" w:after="0" w:line="240" w:lineRule="exact"/>
              <w:jc w:val="right"/>
              <w:rPr>
                <w:rFonts w:ascii="宋体" w:hAnsi="宋体" w:eastAsia="宋体" w:cs="宋体"/>
                <w:color w:val="auto"/>
                <w:sz w:val="18"/>
                <w:szCs w:val="18"/>
              </w:rPr>
            </w:pPr>
          </w:p>
        </w:tc>
      </w:tr>
      <w:tr w14:paraId="7CE63B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DB90FC">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手续费及佣金支出</w:t>
            </w:r>
          </w:p>
        </w:tc>
        <w:tc>
          <w:tcPr>
            <w:tcW w:w="3213" w:type="dxa"/>
            <w:tcBorders>
              <w:top w:val="single" w:color="auto" w:sz="2" w:space="0"/>
              <w:left w:val="single" w:color="auto" w:sz="2" w:space="0"/>
              <w:bottom w:val="single" w:color="auto" w:sz="2" w:space="0"/>
              <w:right w:val="single" w:color="auto" w:sz="2" w:space="0"/>
            </w:tcBorders>
            <w:vAlign w:val="center"/>
          </w:tcPr>
          <w:p w14:paraId="4322C99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57DD226">
            <w:pPr>
              <w:spacing w:before="0" w:after="0" w:line="240" w:lineRule="exact"/>
              <w:jc w:val="right"/>
              <w:rPr>
                <w:rFonts w:ascii="宋体" w:hAnsi="宋体" w:eastAsia="宋体" w:cs="宋体"/>
                <w:color w:val="auto"/>
                <w:sz w:val="18"/>
                <w:szCs w:val="18"/>
              </w:rPr>
            </w:pPr>
          </w:p>
        </w:tc>
      </w:tr>
      <w:tr w14:paraId="1E3258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C390D3">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退保金</w:t>
            </w:r>
          </w:p>
        </w:tc>
        <w:tc>
          <w:tcPr>
            <w:tcW w:w="3213" w:type="dxa"/>
            <w:tcBorders>
              <w:top w:val="single" w:color="auto" w:sz="2" w:space="0"/>
              <w:left w:val="single" w:color="auto" w:sz="2" w:space="0"/>
              <w:bottom w:val="single" w:color="auto" w:sz="2" w:space="0"/>
              <w:right w:val="single" w:color="auto" w:sz="2" w:space="0"/>
            </w:tcBorders>
            <w:vAlign w:val="center"/>
          </w:tcPr>
          <w:p w14:paraId="7902F1F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A4A1D17">
            <w:pPr>
              <w:spacing w:before="0" w:after="0" w:line="240" w:lineRule="exact"/>
              <w:jc w:val="right"/>
              <w:rPr>
                <w:rFonts w:ascii="宋体" w:hAnsi="宋体" w:eastAsia="宋体" w:cs="宋体"/>
                <w:color w:val="auto"/>
                <w:sz w:val="18"/>
                <w:szCs w:val="18"/>
              </w:rPr>
            </w:pPr>
          </w:p>
        </w:tc>
      </w:tr>
      <w:tr w14:paraId="0CB173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2D0E50">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赔付支出净额</w:t>
            </w:r>
          </w:p>
        </w:tc>
        <w:tc>
          <w:tcPr>
            <w:tcW w:w="3213" w:type="dxa"/>
            <w:tcBorders>
              <w:top w:val="single" w:color="auto" w:sz="2" w:space="0"/>
              <w:left w:val="single" w:color="auto" w:sz="2" w:space="0"/>
              <w:bottom w:val="single" w:color="auto" w:sz="2" w:space="0"/>
              <w:right w:val="single" w:color="auto" w:sz="2" w:space="0"/>
            </w:tcBorders>
            <w:vAlign w:val="center"/>
          </w:tcPr>
          <w:p w14:paraId="5D40731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3969F7D">
            <w:pPr>
              <w:spacing w:before="0" w:after="0" w:line="240" w:lineRule="exact"/>
              <w:jc w:val="right"/>
              <w:rPr>
                <w:rFonts w:ascii="宋体" w:hAnsi="宋体" w:eastAsia="宋体" w:cs="宋体"/>
                <w:color w:val="auto"/>
                <w:sz w:val="18"/>
                <w:szCs w:val="18"/>
              </w:rPr>
            </w:pPr>
          </w:p>
        </w:tc>
      </w:tr>
      <w:tr w14:paraId="6EDEE3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596152">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提取保险责任准备金净额</w:t>
            </w:r>
          </w:p>
        </w:tc>
        <w:tc>
          <w:tcPr>
            <w:tcW w:w="3213" w:type="dxa"/>
            <w:tcBorders>
              <w:top w:val="single" w:color="auto" w:sz="2" w:space="0"/>
              <w:left w:val="single" w:color="auto" w:sz="2" w:space="0"/>
              <w:bottom w:val="single" w:color="auto" w:sz="2" w:space="0"/>
              <w:right w:val="single" w:color="auto" w:sz="2" w:space="0"/>
            </w:tcBorders>
            <w:vAlign w:val="center"/>
          </w:tcPr>
          <w:p w14:paraId="4345BCD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3BA3138">
            <w:pPr>
              <w:spacing w:before="0" w:after="0" w:line="240" w:lineRule="exact"/>
              <w:jc w:val="right"/>
              <w:rPr>
                <w:rFonts w:ascii="宋体" w:hAnsi="宋体" w:eastAsia="宋体" w:cs="宋体"/>
                <w:color w:val="auto"/>
                <w:sz w:val="18"/>
                <w:szCs w:val="18"/>
              </w:rPr>
            </w:pPr>
          </w:p>
        </w:tc>
      </w:tr>
      <w:tr w14:paraId="579A0E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3CE8FF">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保单红利支出</w:t>
            </w:r>
          </w:p>
        </w:tc>
        <w:tc>
          <w:tcPr>
            <w:tcW w:w="3213" w:type="dxa"/>
            <w:tcBorders>
              <w:top w:val="single" w:color="auto" w:sz="2" w:space="0"/>
              <w:left w:val="single" w:color="auto" w:sz="2" w:space="0"/>
              <w:bottom w:val="single" w:color="auto" w:sz="2" w:space="0"/>
              <w:right w:val="single" w:color="auto" w:sz="2" w:space="0"/>
            </w:tcBorders>
            <w:vAlign w:val="center"/>
          </w:tcPr>
          <w:p w14:paraId="211E57E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ECB9C4B">
            <w:pPr>
              <w:spacing w:before="0" w:after="0" w:line="240" w:lineRule="exact"/>
              <w:jc w:val="right"/>
              <w:rPr>
                <w:rFonts w:ascii="宋体" w:hAnsi="宋体" w:eastAsia="宋体" w:cs="宋体"/>
                <w:color w:val="auto"/>
                <w:sz w:val="18"/>
                <w:szCs w:val="18"/>
              </w:rPr>
            </w:pPr>
          </w:p>
        </w:tc>
      </w:tr>
      <w:tr w14:paraId="6E5FB6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9B8E0E">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分保费用</w:t>
            </w:r>
          </w:p>
        </w:tc>
        <w:tc>
          <w:tcPr>
            <w:tcW w:w="3213" w:type="dxa"/>
            <w:tcBorders>
              <w:top w:val="single" w:color="auto" w:sz="2" w:space="0"/>
              <w:left w:val="single" w:color="auto" w:sz="2" w:space="0"/>
              <w:bottom w:val="single" w:color="auto" w:sz="2" w:space="0"/>
              <w:right w:val="single" w:color="auto" w:sz="2" w:space="0"/>
            </w:tcBorders>
            <w:vAlign w:val="center"/>
          </w:tcPr>
          <w:p w14:paraId="4D1D59F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C3852D">
            <w:pPr>
              <w:spacing w:before="0" w:after="0" w:line="240" w:lineRule="exact"/>
              <w:jc w:val="right"/>
              <w:rPr>
                <w:rFonts w:ascii="宋体" w:hAnsi="宋体" w:eastAsia="宋体" w:cs="宋体"/>
                <w:color w:val="auto"/>
                <w:sz w:val="18"/>
                <w:szCs w:val="18"/>
              </w:rPr>
            </w:pPr>
          </w:p>
        </w:tc>
      </w:tr>
      <w:tr w14:paraId="7FA2E3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D56000">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14:paraId="749A22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4,720,348.40</w:t>
            </w:r>
          </w:p>
        </w:tc>
        <w:tc>
          <w:tcPr>
            <w:tcW w:w="3213" w:type="dxa"/>
            <w:tcBorders>
              <w:top w:val="single" w:color="auto" w:sz="2" w:space="0"/>
              <w:left w:val="single" w:color="auto" w:sz="2" w:space="0"/>
              <w:bottom w:val="single" w:color="auto" w:sz="2" w:space="0"/>
              <w:right w:val="single" w:color="auto" w:sz="2" w:space="0"/>
            </w:tcBorders>
            <w:vAlign w:val="center"/>
          </w:tcPr>
          <w:p w14:paraId="059D6E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4,562,133.32</w:t>
            </w:r>
          </w:p>
        </w:tc>
      </w:tr>
      <w:tr w14:paraId="15227D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4129C3">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14:paraId="2ED0A0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100,321,270.65</w:t>
            </w:r>
          </w:p>
        </w:tc>
        <w:tc>
          <w:tcPr>
            <w:tcW w:w="3213" w:type="dxa"/>
            <w:tcBorders>
              <w:top w:val="single" w:color="auto" w:sz="2" w:space="0"/>
              <w:left w:val="single" w:color="auto" w:sz="2" w:space="0"/>
              <w:bottom w:val="single" w:color="auto" w:sz="2" w:space="0"/>
              <w:right w:val="single" w:color="auto" w:sz="2" w:space="0"/>
            </w:tcBorders>
            <w:vAlign w:val="center"/>
          </w:tcPr>
          <w:p w14:paraId="129DEE8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90,866,736.88</w:t>
            </w:r>
          </w:p>
        </w:tc>
      </w:tr>
      <w:tr w14:paraId="4F4B9C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35B0C8">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14:paraId="3FB9DF7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50,679,223.14</w:t>
            </w:r>
          </w:p>
        </w:tc>
        <w:tc>
          <w:tcPr>
            <w:tcW w:w="3213" w:type="dxa"/>
            <w:tcBorders>
              <w:top w:val="single" w:color="auto" w:sz="2" w:space="0"/>
              <w:left w:val="single" w:color="auto" w:sz="2" w:space="0"/>
              <w:bottom w:val="single" w:color="auto" w:sz="2" w:space="0"/>
              <w:right w:val="single" w:color="auto" w:sz="2" w:space="0"/>
            </w:tcBorders>
            <w:vAlign w:val="center"/>
          </w:tcPr>
          <w:p w14:paraId="6FF01F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52,808,151.14</w:t>
            </w:r>
          </w:p>
        </w:tc>
      </w:tr>
      <w:tr w14:paraId="3061FC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2F21CD">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36780EC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14,758,327.10</w:t>
            </w:r>
          </w:p>
        </w:tc>
        <w:tc>
          <w:tcPr>
            <w:tcW w:w="3213" w:type="dxa"/>
            <w:tcBorders>
              <w:top w:val="single" w:color="auto" w:sz="2" w:space="0"/>
              <w:left w:val="single" w:color="auto" w:sz="2" w:space="0"/>
              <w:bottom w:val="single" w:color="auto" w:sz="2" w:space="0"/>
              <w:right w:val="single" w:color="auto" w:sz="2" w:space="0"/>
            </w:tcBorders>
            <w:vAlign w:val="center"/>
          </w:tcPr>
          <w:p w14:paraId="571DCFC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14,367,719.17</w:t>
            </w:r>
          </w:p>
        </w:tc>
      </w:tr>
      <w:tr w14:paraId="39B684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4A00CB">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0015B29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16,311,987.93</w:t>
            </w:r>
          </w:p>
        </w:tc>
        <w:tc>
          <w:tcPr>
            <w:tcW w:w="3213" w:type="dxa"/>
            <w:tcBorders>
              <w:top w:val="single" w:color="auto" w:sz="2" w:space="0"/>
              <w:left w:val="single" w:color="auto" w:sz="2" w:space="0"/>
              <w:bottom w:val="single" w:color="auto" w:sz="2" w:space="0"/>
              <w:right w:val="single" w:color="auto" w:sz="2" w:space="0"/>
            </w:tcBorders>
            <w:vAlign w:val="center"/>
          </w:tcPr>
          <w:p w14:paraId="4C86DB7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16,969,664.85</w:t>
            </w:r>
          </w:p>
        </w:tc>
      </w:tr>
      <w:tr w14:paraId="3A13BC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41015B">
            <w:pPr>
              <w:spacing w:before="40" w:after="4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17C151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16,665,439.88</w:t>
            </w:r>
          </w:p>
        </w:tc>
        <w:tc>
          <w:tcPr>
            <w:tcW w:w="3213" w:type="dxa"/>
            <w:tcBorders>
              <w:top w:val="single" w:color="auto" w:sz="2" w:space="0"/>
              <w:left w:val="single" w:color="auto" w:sz="2" w:space="0"/>
              <w:bottom w:val="single" w:color="auto" w:sz="2" w:space="0"/>
              <w:right w:val="single" w:color="auto" w:sz="2" w:space="0"/>
            </w:tcBorders>
            <w:vAlign w:val="center"/>
          </w:tcPr>
          <w:p w14:paraId="56CB7E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17,892,956.94</w:t>
            </w:r>
          </w:p>
        </w:tc>
      </w:tr>
      <w:tr w14:paraId="735257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EBB9C7">
            <w:pPr>
              <w:spacing w:before="40" w:after="40" w:line="240" w:lineRule="exact"/>
              <w:ind w:firstLine="1440" w:firstLineChars="800"/>
              <w:jc w:val="left"/>
              <w:rPr>
                <w:rFonts w:ascii="宋体" w:hAnsi="宋体" w:eastAsia="宋体" w:cs="宋体"/>
                <w:color w:val="auto"/>
                <w:sz w:val="18"/>
                <w:szCs w:val="18"/>
              </w:rPr>
            </w:pPr>
            <w:r>
              <w:rPr>
                <w:rFonts w:ascii="宋体" w:hAnsi="宋体" w:eastAsia="宋体" w:cs="宋体"/>
                <w:color w:val="auto"/>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02337D1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374,917.33</w:t>
            </w:r>
          </w:p>
        </w:tc>
        <w:tc>
          <w:tcPr>
            <w:tcW w:w="3213" w:type="dxa"/>
            <w:tcBorders>
              <w:top w:val="single" w:color="auto" w:sz="2" w:space="0"/>
              <w:left w:val="single" w:color="auto" w:sz="2" w:space="0"/>
              <w:bottom w:val="single" w:color="auto" w:sz="2" w:space="0"/>
              <w:right w:val="single" w:color="auto" w:sz="2" w:space="0"/>
            </w:tcBorders>
            <w:vAlign w:val="center"/>
          </w:tcPr>
          <w:p w14:paraId="486ABED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944,301.52</w:t>
            </w:r>
          </w:p>
        </w:tc>
      </w:tr>
      <w:tr w14:paraId="3EDA3F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D09D8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67EC075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5,742,043.75</w:t>
            </w:r>
          </w:p>
        </w:tc>
        <w:tc>
          <w:tcPr>
            <w:tcW w:w="3213" w:type="dxa"/>
            <w:tcBorders>
              <w:top w:val="single" w:color="auto" w:sz="2" w:space="0"/>
              <w:left w:val="single" w:color="auto" w:sz="2" w:space="0"/>
              <w:bottom w:val="single" w:color="auto" w:sz="2" w:space="0"/>
              <w:right w:val="single" w:color="auto" w:sz="2" w:space="0"/>
            </w:tcBorders>
            <w:vAlign w:val="center"/>
          </w:tcPr>
          <w:p w14:paraId="500B865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15,877,744.38</w:t>
            </w:r>
          </w:p>
        </w:tc>
      </w:tr>
      <w:tr w14:paraId="75C351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8F2E39">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3C86D4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3213" w:type="dxa"/>
            <w:tcBorders>
              <w:top w:val="single" w:color="auto" w:sz="2" w:space="0"/>
              <w:left w:val="single" w:color="auto" w:sz="2" w:space="0"/>
              <w:bottom w:val="single" w:color="auto" w:sz="2" w:space="0"/>
              <w:right w:val="single" w:color="auto" w:sz="2" w:space="0"/>
            </w:tcBorders>
            <w:vAlign w:val="center"/>
          </w:tcPr>
          <w:p w14:paraId="13FB7DD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-2,019,561.20</w:t>
            </w:r>
          </w:p>
        </w:tc>
      </w:tr>
      <w:tr w14:paraId="4CA347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7A598F">
            <w:pPr>
              <w:spacing w:before="40" w:after="4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2AD6A48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3213" w:type="dxa"/>
            <w:tcBorders>
              <w:top w:val="single" w:color="auto" w:sz="2" w:space="0"/>
              <w:left w:val="single" w:color="auto" w:sz="2" w:space="0"/>
              <w:bottom w:val="single" w:color="auto" w:sz="2" w:space="0"/>
              <w:right w:val="single" w:color="auto" w:sz="2" w:space="0"/>
            </w:tcBorders>
            <w:vAlign w:val="center"/>
          </w:tcPr>
          <w:p w14:paraId="573B49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-2,019,561.20</w:t>
            </w:r>
          </w:p>
        </w:tc>
      </w:tr>
      <w:tr w14:paraId="3B49C0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BDB664">
            <w:pPr>
              <w:spacing w:before="40" w:after="40" w:line="240" w:lineRule="exact"/>
              <w:ind w:firstLine="1440" w:firstLineChars="800"/>
              <w:jc w:val="left"/>
              <w:rPr>
                <w:rFonts w:ascii="宋体" w:hAnsi="宋体" w:eastAsia="宋体" w:cs="宋体"/>
                <w:color w:val="auto"/>
                <w:sz w:val="18"/>
                <w:szCs w:val="18"/>
              </w:rPr>
            </w:pPr>
            <w:r>
              <w:rPr>
                <w:rFonts w:ascii="宋体" w:hAnsi="宋体" w:eastAsia="宋体" w:cs="宋体"/>
                <w:color w:val="auto"/>
                <w:sz w:val="18"/>
                <w:szCs w:val="18"/>
              </w:rPr>
              <w:t>以摊余成本计量的金融资产终止确认收益</w:t>
            </w:r>
          </w:p>
        </w:tc>
        <w:tc>
          <w:tcPr>
            <w:tcW w:w="3213" w:type="dxa"/>
            <w:tcBorders>
              <w:top w:val="single" w:color="auto" w:sz="2" w:space="0"/>
              <w:left w:val="single" w:color="auto" w:sz="2" w:space="0"/>
              <w:bottom w:val="single" w:color="auto" w:sz="2" w:space="0"/>
              <w:right w:val="single" w:color="auto" w:sz="2" w:space="0"/>
            </w:tcBorders>
            <w:vAlign w:val="center"/>
          </w:tcPr>
          <w:p w14:paraId="05FC052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036EB65">
            <w:pPr>
              <w:spacing w:before="0" w:after="0" w:line="240" w:lineRule="exact"/>
              <w:jc w:val="right"/>
              <w:rPr>
                <w:rFonts w:ascii="宋体" w:hAnsi="宋体" w:eastAsia="宋体" w:cs="宋体"/>
                <w:color w:val="auto"/>
                <w:sz w:val="18"/>
                <w:szCs w:val="18"/>
              </w:rPr>
            </w:pPr>
          </w:p>
        </w:tc>
      </w:tr>
      <w:tr w14:paraId="038B51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E4B2C8">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汇兑收益（损失以“—”号填列）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7383B1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6B4726E">
            <w:pPr>
              <w:spacing w:before="0" w:after="0" w:line="240" w:lineRule="exact"/>
              <w:jc w:val="right"/>
              <w:rPr>
                <w:rFonts w:ascii="宋体" w:hAnsi="宋体" w:eastAsia="宋体" w:cs="宋体"/>
                <w:color w:val="auto"/>
                <w:sz w:val="18"/>
                <w:szCs w:val="18"/>
              </w:rPr>
            </w:pPr>
          </w:p>
        </w:tc>
      </w:tr>
      <w:tr w14:paraId="6A75EB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FACFBA">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59870A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597B35D">
            <w:pPr>
              <w:spacing w:before="0" w:after="0" w:line="240" w:lineRule="exact"/>
              <w:jc w:val="right"/>
              <w:rPr>
                <w:rFonts w:ascii="宋体" w:hAnsi="宋体" w:eastAsia="宋体" w:cs="宋体"/>
                <w:color w:val="auto"/>
                <w:sz w:val="18"/>
                <w:szCs w:val="18"/>
              </w:rPr>
            </w:pPr>
          </w:p>
        </w:tc>
      </w:tr>
      <w:tr w14:paraId="77A76A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90F54B">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79AB16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63BCBED">
            <w:pPr>
              <w:spacing w:before="0" w:after="0" w:line="240" w:lineRule="exact"/>
              <w:jc w:val="right"/>
              <w:rPr>
                <w:rFonts w:ascii="宋体" w:hAnsi="宋体" w:eastAsia="宋体" w:cs="宋体"/>
                <w:color w:val="auto"/>
                <w:sz w:val="18"/>
                <w:szCs w:val="18"/>
              </w:rPr>
            </w:pPr>
          </w:p>
        </w:tc>
      </w:tr>
      <w:tr w14:paraId="6302EE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10A8A3">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AABDB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-737,896.34</w:t>
            </w:r>
          </w:p>
        </w:tc>
        <w:tc>
          <w:tcPr>
            <w:tcW w:w="3213" w:type="dxa"/>
            <w:tcBorders>
              <w:top w:val="single" w:color="auto" w:sz="2" w:space="0"/>
              <w:left w:val="single" w:color="auto" w:sz="2" w:space="0"/>
              <w:bottom w:val="single" w:color="auto" w:sz="2" w:space="0"/>
              <w:right w:val="single" w:color="auto" w:sz="2" w:space="0"/>
            </w:tcBorders>
            <w:vAlign w:val="center"/>
          </w:tcPr>
          <w:p w14:paraId="01CED4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77,321.88</w:t>
            </w:r>
          </w:p>
        </w:tc>
      </w:tr>
      <w:tr w14:paraId="6DA70F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E0DCD2">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77E658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-7,050,885.43</w:t>
            </w:r>
          </w:p>
        </w:tc>
        <w:tc>
          <w:tcPr>
            <w:tcW w:w="3213" w:type="dxa"/>
            <w:tcBorders>
              <w:top w:val="single" w:color="auto" w:sz="2" w:space="0"/>
              <w:left w:val="single" w:color="auto" w:sz="2" w:space="0"/>
              <w:bottom w:val="single" w:color="auto" w:sz="2" w:space="0"/>
              <w:right w:val="single" w:color="auto" w:sz="2" w:space="0"/>
            </w:tcBorders>
            <w:vAlign w:val="center"/>
          </w:tcPr>
          <w:p w14:paraId="79774EB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-2,053,927.25</w:t>
            </w:r>
          </w:p>
        </w:tc>
      </w:tr>
      <w:tr w14:paraId="5C4EEB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DF12D0">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BF94B0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E5B1AA7">
            <w:pPr>
              <w:spacing w:before="0" w:after="0" w:line="240" w:lineRule="exact"/>
              <w:jc w:val="right"/>
              <w:rPr>
                <w:rFonts w:ascii="宋体" w:hAnsi="宋体" w:eastAsia="宋体" w:cs="宋体"/>
                <w:color w:val="auto"/>
                <w:sz w:val="18"/>
                <w:szCs w:val="18"/>
              </w:rPr>
            </w:pPr>
          </w:p>
        </w:tc>
      </w:tr>
      <w:tr w14:paraId="242C59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0030C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DCF89A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-61,644,387.75</w:t>
            </w:r>
          </w:p>
        </w:tc>
        <w:tc>
          <w:tcPr>
            <w:tcW w:w="3213" w:type="dxa"/>
            <w:tcBorders>
              <w:top w:val="single" w:color="auto" w:sz="2" w:space="0"/>
              <w:left w:val="single" w:color="auto" w:sz="2" w:space="0"/>
              <w:bottom w:val="single" w:color="auto" w:sz="2" w:space="0"/>
              <w:right w:val="single" w:color="auto" w:sz="2" w:space="0"/>
            </w:tcBorders>
            <w:vAlign w:val="center"/>
          </w:tcPr>
          <w:p w14:paraId="22D2CE9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-34,111,640.45</w:t>
            </w:r>
          </w:p>
        </w:tc>
      </w:tr>
      <w:tr w14:paraId="3ACFA5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CB72A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7B4035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311,985.86</w:t>
            </w:r>
          </w:p>
        </w:tc>
        <w:tc>
          <w:tcPr>
            <w:tcW w:w="3213" w:type="dxa"/>
            <w:tcBorders>
              <w:top w:val="single" w:color="auto" w:sz="2" w:space="0"/>
              <w:left w:val="single" w:color="auto" w:sz="2" w:space="0"/>
              <w:bottom w:val="single" w:color="auto" w:sz="2" w:space="0"/>
              <w:right w:val="single" w:color="auto" w:sz="2" w:space="0"/>
            </w:tcBorders>
            <w:vAlign w:val="center"/>
          </w:tcPr>
          <w:p w14:paraId="02F94A8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16,380.46</w:t>
            </w:r>
          </w:p>
        </w:tc>
      </w:tr>
      <w:tr w14:paraId="60F496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77BB2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14:paraId="7118532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1,189,075.75</w:t>
            </w:r>
          </w:p>
        </w:tc>
        <w:tc>
          <w:tcPr>
            <w:tcW w:w="3213" w:type="dxa"/>
            <w:tcBorders>
              <w:top w:val="single" w:color="auto" w:sz="2" w:space="0"/>
              <w:left w:val="single" w:color="auto" w:sz="2" w:space="0"/>
              <w:bottom w:val="single" w:color="auto" w:sz="2" w:space="0"/>
              <w:right w:val="single" w:color="auto" w:sz="2" w:space="0"/>
            </w:tcBorders>
            <w:vAlign w:val="center"/>
          </w:tcPr>
          <w:p w14:paraId="5D3EC8C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96,349.45</w:t>
            </w:r>
          </w:p>
        </w:tc>
      </w:tr>
      <w:tr w14:paraId="3C9872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CB4E9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09BF74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-62,521,477.64</w:t>
            </w:r>
          </w:p>
        </w:tc>
        <w:tc>
          <w:tcPr>
            <w:tcW w:w="3213" w:type="dxa"/>
            <w:tcBorders>
              <w:top w:val="single" w:color="auto" w:sz="2" w:space="0"/>
              <w:left w:val="single" w:color="auto" w:sz="2" w:space="0"/>
              <w:bottom w:val="single" w:color="auto" w:sz="2" w:space="0"/>
              <w:right w:val="single" w:color="auto" w:sz="2" w:space="0"/>
            </w:tcBorders>
            <w:vAlign w:val="center"/>
          </w:tcPr>
          <w:p w14:paraId="3CB71FF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-34,191,609.44</w:t>
            </w:r>
          </w:p>
        </w:tc>
      </w:tr>
      <w:tr w14:paraId="6305B6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DABD07">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7B356E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7,885,796.21</w:t>
            </w:r>
          </w:p>
        </w:tc>
        <w:tc>
          <w:tcPr>
            <w:tcW w:w="3213" w:type="dxa"/>
            <w:tcBorders>
              <w:top w:val="single" w:color="auto" w:sz="2" w:space="0"/>
              <w:left w:val="single" w:color="auto" w:sz="2" w:space="0"/>
              <w:bottom w:val="single" w:color="auto" w:sz="2" w:space="0"/>
              <w:right w:val="single" w:color="auto" w:sz="2" w:space="0"/>
            </w:tcBorders>
            <w:vAlign w:val="center"/>
          </w:tcPr>
          <w:p w14:paraId="018C25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1,929,369.30</w:t>
            </w:r>
          </w:p>
        </w:tc>
      </w:tr>
      <w:tr w14:paraId="5C908A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EB254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五、净利润（净亏损以“—”号填列）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9B1418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-70,407,273.85</w:t>
            </w:r>
          </w:p>
        </w:tc>
        <w:tc>
          <w:tcPr>
            <w:tcW w:w="3213" w:type="dxa"/>
            <w:tcBorders>
              <w:top w:val="single" w:color="auto" w:sz="2" w:space="0"/>
              <w:left w:val="single" w:color="auto" w:sz="2" w:space="0"/>
              <w:bottom w:val="single" w:color="auto" w:sz="2" w:space="0"/>
              <w:right w:val="single" w:color="auto" w:sz="2" w:space="0"/>
            </w:tcBorders>
            <w:vAlign w:val="center"/>
          </w:tcPr>
          <w:p w14:paraId="394E93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-36,120,978.74</w:t>
            </w:r>
          </w:p>
        </w:tc>
      </w:tr>
      <w:tr w14:paraId="1D6212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1645C2">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（一）按经营持续性分类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2E8C6F">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23DA2B">
            <w:pPr>
              <w:rPr>
                <w:color w:val="auto"/>
              </w:rPr>
            </w:pPr>
          </w:p>
        </w:tc>
      </w:tr>
      <w:tr w14:paraId="3A75F1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1B1224">
            <w:pPr>
              <w:spacing w:before="0" w:after="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66333B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-70,407,273.85</w:t>
            </w:r>
          </w:p>
        </w:tc>
        <w:tc>
          <w:tcPr>
            <w:tcW w:w="3213" w:type="dxa"/>
            <w:tcBorders>
              <w:top w:val="single" w:color="auto" w:sz="2" w:space="0"/>
              <w:left w:val="single" w:color="auto" w:sz="2" w:space="0"/>
              <w:bottom w:val="single" w:color="auto" w:sz="2" w:space="0"/>
              <w:right w:val="single" w:color="auto" w:sz="2" w:space="0"/>
            </w:tcBorders>
            <w:vAlign w:val="center"/>
          </w:tcPr>
          <w:p w14:paraId="476D0CC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-36,120,978.74</w:t>
            </w:r>
          </w:p>
        </w:tc>
      </w:tr>
      <w:tr w14:paraId="32ABD2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D12C73">
            <w:pPr>
              <w:spacing w:before="0" w:after="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517CB7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E17E52">
            <w:pPr>
              <w:spacing w:before="0" w:after="0" w:line="240" w:lineRule="exact"/>
              <w:jc w:val="right"/>
              <w:rPr>
                <w:rFonts w:ascii="宋体" w:hAnsi="宋体" w:eastAsia="宋体" w:cs="宋体"/>
                <w:color w:val="auto"/>
                <w:sz w:val="18"/>
                <w:szCs w:val="18"/>
              </w:rPr>
            </w:pPr>
          </w:p>
        </w:tc>
      </w:tr>
      <w:tr w14:paraId="21254E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1EE9E9">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（二）按所有权归属分类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0D0923">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C7F30B">
            <w:pPr>
              <w:rPr>
                <w:color w:val="auto"/>
              </w:rPr>
            </w:pPr>
          </w:p>
        </w:tc>
      </w:tr>
      <w:tr w14:paraId="524595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D6CD2F">
            <w:pPr>
              <w:spacing w:before="0" w:after="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1.归属于母公司股东的净利润（净亏损以“—”号填列）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25E57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-66,688,112.39</w:t>
            </w:r>
          </w:p>
        </w:tc>
        <w:tc>
          <w:tcPr>
            <w:tcW w:w="3213" w:type="dxa"/>
            <w:tcBorders>
              <w:top w:val="single" w:color="auto" w:sz="2" w:space="0"/>
              <w:left w:val="single" w:color="auto" w:sz="2" w:space="0"/>
              <w:bottom w:val="single" w:color="auto" w:sz="2" w:space="0"/>
              <w:right w:val="single" w:color="auto" w:sz="2" w:space="0"/>
            </w:tcBorders>
            <w:vAlign w:val="center"/>
          </w:tcPr>
          <w:p w14:paraId="732747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-36,037,775.88</w:t>
            </w:r>
          </w:p>
        </w:tc>
      </w:tr>
      <w:tr w14:paraId="4900A5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6EBD49">
            <w:pPr>
              <w:spacing w:before="0" w:after="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2.少数股东损益（净亏损以“—”号填列）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92CA5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-3,719,161.46</w:t>
            </w:r>
          </w:p>
        </w:tc>
        <w:tc>
          <w:tcPr>
            <w:tcW w:w="3213" w:type="dxa"/>
            <w:tcBorders>
              <w:top w:val="single" w:color="auto" w:sz="2" w:space="0"/>
              <w:left w:val="single" w:color="auto" w:sz="2" w:space="0"/>
              <w:bottom w:val="single" w:color="auto" w:sz="2" w:space="0"/>
              <w:right w:val="single" w:color="auto" w:sz="2" w:space="0"/>
            </w:tcBorders>
            <w:vAlign w:val="center"/>
          </w:tcPr>
          <w:p w14:paraId="4129AD4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-83,202.86</w:t>
            </w:r>
          </w:p>
        </w:tc>
      </w:tr>
      <w:tr w14:paraId="34D6B5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1D8A0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六、其他综合收益的税后净额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2B62A7C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CC8E8B">
            <w:pPr>
              <w:spacing w:before="0" w:after="0" w:line="240" w:lineRule="exact"/>
              <w:jc w:val="right"/>
              <w:rPr>
                <w:rFonts w:ascii="宋体" w:hAnsi="宋体" w:eastAsia="宋体" w:cs="宋体"/>
                <w:color w:val="auto"/>
                <w:sz w:val="18"/>
                <w:szCs w:val="18"/>
              </w:rPr>
            </w:pPr>
          </w:p>
        </w:tc>
      </w:tr>
      <w:tr w14:paraId="389608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29C3B7">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归属母公司所有者的其他综合收益的税后净额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5FA09D7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A5DD42F">
            <w:pPr>
              <w:spacing w:before="0" w:after="0" w:line="240" w:lineRule="exact"/>
              <w:jc w:val="right"/>
              <w:rPr>
                <w:rFonts w:ascii="宋体" w:hAnsi="宋体" w:eastAsia="宋体" w:cs="宋体"/>
                <w:color w:val="auto"/>
                <w:sz w:val="18"/>
                <w:szCs w:val="18"/>
              </w:rPr>
            </w:pPr>
          </w:p>
        </w:tc>
      </w:tr>
      <w:tr w14:paraId="4EA9C5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93ABB3">
            <w:pPr>
              <w:spacing w:before="0" w:after="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1C3F2A0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E93AA60">
            <w:pPr>
              <w:spacing w:before="0" w:after="0" w:line="240" w:lineRule="exact"/>
              <w:jc w:val="right"/>
              <w:rPr>
                <w:rFonts w:ascii="宋体" w:hAnsi="宋体" w:eastAsia="宋体" w:cs="宋体"/>
                <w:color w:val="auto"/>
                <w:sz w:val="18"/>
                <w:szCs w:val="18"/>
              </w:rPr>
            </w:pPr>
          </w:p>
        </w:tc>
      </w:tr>
      <w:tr w14:paraId="527BE1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8AC8F1">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14:paraId="320AF38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FE77A2">
            <w:pPr>
              <w:spacing w:before="0" w:after="0" w:line="240" w:lineRule="exact"/>
              <w:jc w:val="right"/>
              <w:rPr>
                <w:rFonts w:ascii="宋体" w:hAnsi="宋体" w:eastAsia="宋体" w:cs="宋体"/>
                <w:color w:val="auto"/>
                <w:sz w:val="18"/>
                <w:szCs w:val="18"/>
              </w:rPr>
            </w:pPr>
          </w:p>
        </w:tc>
      </w:tr>
      <w:tr w14:paraId="449460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AC1E82">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2F5C149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0E6010">
            <w:pPr>
              <w:spacing w:before="0" w:after="0" w:line="240" w:lineRule="exact"/>
              <w:jc w:val="right"/>
              <w:rPr>
                <w:rFonts w:ascii="宋体" w:hAnsi="宋体" w:eastAsia="宋体" w:cs="宋体"/>
                <w:color w:val="auto"/>
                <w:sz w:val="18"/>
                <w:szCs w:val="18"/>
              </w:rPr>
            </w:pPr>
          </w:p>
        </w:tc>
      </w:tr>
      <w:tr w14:paraId="0AC64F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9025B0">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462C7C0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C7428ED">
            <w:pPr>
              <w:spacing w:before="0" w:after="0" w:line="240" w:lineRule="exact"/>
              <w:jc w:val="right"/>
              <w:rPr>
                <w:rFonts w:ascii="宋体" w:hAnsi="宋体" w:eastAsia="宋体" w:cs="宋体"/>
                <w:color w:val="auto"/>
                <w:sz w:val="18"/>
                <w:szCs w:val="18"/>
              </w:rPr>
            </w:pPr>
          </w:p>
        </w:tc>
      </w:tr>
      <w:tr w14:paraId="4221BA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847609">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7010210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2A97C0">
            <w:pPr>
              <w:spacing w:before="0" w:after="0" w:line="240" w:lineRule="exact"/>
              <w:jc w:val="right"/>
              <w:rPr>
                <w:rFonts w:ascii="宋体" w:hAnsi="宋体" w:eastAsia="宋体" w:cs="宋体"/>
                <w:color w:val="auto"/>
                <w:sz w:val="18"/>
                <w:szCs w:val="18"/>
              </w:rPr>
            </w:pPr>
          </w:p>
        </w:tc>
      </w:tr>
      <w:tr w14:paraId="147EBA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9290F4">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5.其他</w:t>
            </w:r>
          </w:p>
        </w:tc>
        <w:tc>
          <w:tcPr>
            <w:tcW w:w="3213" w:type="dxa"/>
            <w:tcBorders>
              <w:top w:val="single" w:color="auto" w:sz="2" w:space="0"/>
              <w:left w:val="single" w:color="auto" w:sz="2" w:space="0"/>
              <w:bottom w:val="single" w:color="auto" w:sz="2" w:space="0"/>
              <w:right w:val="single" w:color="auto" w:sz="2" w:space="0"/>
            </w:tcBorders>
            <w:vAlign w:val="center"/>
          </w:tcPr>
          <w:p w14:paraId="184FBE5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8E69A15">
            <w:pPr>
              <w:spacing w:before="0" w:after="0" w:line="240" w:lineRule="exact"/>
              <w:jc w:val="right"/>
              <w:rPr>
                <w:rFonts w:ascii="宋体" w:hAnsi="宋体" w:eastAsia="宋体" w:cs="宋体"/>
                <w:color w:val="auto"/>
                <w:sz w:val="18"/>
                <w:szCs w:val="18"/>
              </w:rPr>
            </w:pPr>
          </w:p>
        </w:tc>
      </w:tr>
      <w:tr w14:paraId="73069C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36E4C7">
            <w:pPr>
              <w:spacing w:before="0" w:after="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783FB00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7ED63F">
            <w:pPr>
              <w:spacing w:before="0" w:after="0" w:line="240" w:lineRule="exact"/>
              <w:jc w:val="right"/>
              <w:rPr>
                <w:rFonts w:ascii="宋体" w:hAnsi="宋体" w:eastAsia="宋体" w:cs="宋体"/>
                <w:color w:val="auto"/>
                <w:sz w:val="18"/>
                <w:szCs w:val="18"/>
              </w:rPr>
            </w:pPr>
          </w:p>
        </w:tc>
      </w:tr>
      <w:tr w14:paraId="39E449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81E6C6">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3B52558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CC850D">
            <w:pPr>
              <w:spacing w:before="0" w:after="0" w:line="240" w:lineRule="exact"/>
              <w:jc w:val="right"/>
              <w:rPr>
                <w:rFonts w:ascii="宋体" w:hAnsi="宋体" w:eastAsia="宋体" w:cs="宋体"/>
                <w:color w:val="auto"/>
                <w:sz w:val="18"/>
                <w:szCs w:val="18"/>
              </w:rPr>
            </w:pPr>
          </w:p>
        </w:tc>
      </w:tr>
      <w:tr w14:paraId="5086BF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1E8722">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69E3B90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C0B389A">
            <w:pPr>
              <w:spacing w:before="0" w:after="0" w:line="240" w:lineRule="exact"/>
              <w:jc w:val="right"/>
              <w:rPr>
                <w:rFonts w:ascii="宋体" w:hAnsi="宋体" w:eastAsia="宋体" w:cs="宋体"/>
                <w:color w:val="auto"/>
                <w:sz w:val="18"/>
                <w:szCs w:val="18"/>
              </w:rPr>
            </w:pPr>
          </w:p>
        </w:tc>
      </w:tr>
      <w:tr w14:paraId="6D01AD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776F38">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14:paraId="35E3D64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9C8D8A">
            <w:pPr>
              <w:spacing w:before="0" w:after="0" w:line="240" w:lineRule="exact"/>
              <w:jc w:val="right"/>
              <w:rPr>
                <w:rFonts w:ascii="宋体" w:hAnsi="宋体" w:eastAsia="宋体" w:cs="宋体"/>
                <w:color w:val="auto"/>
                <w:sz w:val="18"/>
                <w:szCs w:val="18"/>
              </w:rPr>
            </w:pPr>
          </w:p>
        </w:tc>
      </w:tr>
      <w:tr w14:paraId="63578A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EB4D93">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19FFF39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945FEE">
            <w:pPr>
              <w:spacing w:before="0" w:after="0" w:line="240" w:lineRule="exact"/>
              <w:jc w:val="right"/>
              <w:rPr>
                <w:rFonts w:ascii="宋体" w:hAnsi="宋体" w:eastAsia="宋体" w:cs="宋体"/>
                <w:color w:val="auto"/>
                <w:sz w:val="18"/>
                <w:szCs w:val="18"/>
              </w:rPr>
            </w:pPr>
          </w:p>
        </w:tc>
      </w:tr>
      <w:tr w14:paraId="7FEA71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2AE492">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14:paraId="01E8DEE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4FE08B5">
            <w:pPr>
              <w:spacing w:before="0" w:after="0" w:line="240" w:lineRule="exact"/>
              <w:jc w:val="right"/>
              <w:rPr>
                <w:rFonts w:ascii="宋体" w:hAnsi="宋体" w:eastAsia="宋体" w:cs="宋体"/>
                <w:color w:val="auto"/>
                <w:sz w:val="18"/>
                <w:szCs w:val="18"/>
              </w:rPr>
            </w:pPr>
          </w:p>
        </w:tc>
      </w:tr>
      <w:tr w14:paraId="7F429D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C38689">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14:paraId="27CEF78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40E4D7">
            <w:pPr>
              <w:spacing w:before="0" w:after="0" w:line="240" w:lineRule="exact"/>
              <w:jc w:val="right"/>
              <w:rPr>
                <w:rFonts w:ascii="宋体" w:hAnsi="宋体" w:eastAsia="宋体" w:cs="宋体"/>
                <w:color w:val="auto"/>
                <w:sz w:val="18"/>
                <w:szCs w:val="18"/>
              </w:rPr>
            </w:pPr>
          </w:p>
        </w:tc>
      </w:tr>
      <w:tr w14:paraId="1E6668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E9CCB7">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7.其他</w:t>
            </w:r>
          </w:p>
        </w:tc>
        <w:tc>
          <w:tcPr>
            <w:tcW w:w="3213" w:type="dxa"/>
            <w:tcBorders>
              <w:top w:val="single" w:color="auto" w:sz="2" w:space="0"/>
              <w:left w:val="single" w:color="auto" w:sz="2" w:space="0"/>
              <w:bottom w:val="single" w:color="auto" w:sz="2" w:space="0"/>
              <w:right w:val="single" w:color="auto" w:sz="2" w:space="0"/>
            </w:tcBorders>
            <w:vAlign w:val="center"/>
          </w:tcPr>
          <w:p w14:paraId="2AC6536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E5BD568">
            <w:pPr>
              <w:spacing w:before="0" w:after="0" w:line="240" w:lineRule="exact"/>
              <w:jc w:val="right"/>
              <w:rPr>
                <w:rFonts w:ascii="宋体" w:hAnsi="宋体" w:eastAsia="宋体" w:cs="宋体"/>
                <w:color w:val="auto"/>
                <w:sz w:val="18"/>
                <w:szCs w:val="18"/>
              </w:rPr>
            </w:pPr>
          </w:p>
        </w:tc>
      </w:tr>
      <w:tr w14:paraId="4F7E8D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019C44">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归属于少数股东的其他综合收益的税后净额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26EE75B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0845B0F">
            <w:pPr>
              <w:spacing w:before="0" w:after="0" w:line="240" w:lineRule="exact"/>
              <w:jc w:val="right"/>
              <w:rPr>
                <w:rFonts w:ascii="宋体" w:hAnsi="宋体" w:eastAsia="宋体" w:cs="宋体"/>
                <w:color w:val="auto"/>
                <w:sz w:val="18"/>
                <w:szCs w:val="18"/>
              </w:rPr>
            </w:pPr>
          </w:p>
        </w:tc>
      </w:tr>
      <w:tr w14:paraId="0613DB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65569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七、综合收益总额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09BC94E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-70,407,273.85</w:t>
            </w:r>
          </w:p>
        </w:tc>
        <w:tc>
          <w:tcPr>
            <w:tcW w:w="3213" w:type="dxa"/>
            <w:tcBorders>
              <w:top w:val="single" w:color="auto" w:sz="2" w:space="0"/>
              <w:left w:val="single" w:color="auto" w:sz="2" w:space="0"/>
              <w:bottom w:val="single" w:color="auto" w:sz="2" w:space="0"/>
              <w:right w:val="single" w:color="auto" w:sz="2" w:space="0"/>
            </w:tcBorders>
            <w:vAlign w:val="center"/>
          </w:tcPr>
          <w:p w14:paraId="150EE8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-36,120,978.74</w:t>
            </w:r>
          </w:p>
        </w:tc>
      </w:tr>
      <w:tr w14:paraId="5D9E0E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7D40FE">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归属于母公司所有者的综合收益总额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634786F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-66,688,112.39</w:t>
            </w:r>
          </w:p>
        </w:tc>
        <w:tc>
          <w:tcPr>
            <w:tcW w:w="3213" w:type="dxa"/>
            <w:tcBorders>
              <w:top w:val="single" w:color="auto" w:sz="2" w:space="0"/>
              <w:left w:val="single" w:color="auto" w:sz="2" w:space="0"/>
              <w:bottom w:val="single" w:color="auto" w:sz="2" w:space="0"/>
              <w:right w:val="single" w:color="auto" w:sz="2" w:space="0"/>
            </w:tcBorders>
            <w:vAlign w:val="center"/>
          </w:tcPr>
          <w:p w14:paraId="37E3009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-36,037,775.88</w:t>
            </w:r>
          </w:p>
        </w:tc>
      </w:tr>
      <w:tr w14:paraId="32419C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21FC78">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归属于少数股东的综合收益总额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190E610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-3,719,161.46</w:t>
            </w:r>
          </w:p>
        </w:tc>
        <w:tc>
          <w:tcPr>
            <w:tcW w:w="3213" w:type="dxa"/>
            <w:tcBorders>
              <w:top w:val="single" w:color="auto" w:sz="2" w:space="0"/>
              <w:left w:val="single" w:color="auto" w:sz="2" w:space="0"/>
              <w:bottom w:val="single" w:color="auto" w:sz="2" w:space="0"/>
              <w:right w:val="single" w:color="auto" w:sz="2" w:space="0"/>
            </w:tcBorders>
            <w:vAlign w:val="center"/>
          </w:tcPr>
          <w:p w14:paraId="56EDF1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-83,202.86</w:t>
            </w:r>
          </w:p>
        </w:tc>
      </w:tr>
      <w:tr w14:paraId="040423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F58BC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八、每股收益：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41D0D3">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7394E7">
            <w:pPr>
              <w:rPr>
                <w:color w:val="auto"/>
              </w:rPr>
            </w:pPr>
          </w:p>
        </w:tc>
      </w:tr>
      <w:tr w14:paraId="5EAE6B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1A0C7C">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04D99B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-0.4187</w:t>
            </w:r>
          </w:p>
        </w:tc>
        <w:tc>
          <w:tcPr>
            <w:tcW w:w="3213" w:type="dxa"/>
            <w:tcBorders>
              <w:top w:val="single" w:color="auto" w:sz="2" w:space="0"/>
              <w:left w:val="single" w:color="auto" w:sz="2" w:space="0"/>
              <w:bottom w:val="single" w:color="auto" w:sz="2" w:space="0"/>
              <w:right w:val="single" w:color="auto" w:sz="2" w:space="0"/>
            </w:tcBorders>
            <w:vAlign w:val="center"/>
          </w:tcPr>
          <w:p w14:paraId="19F644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-0.2263</w:t>
            </w:r>
          </w:p>
        </w:tc>
      </w:tr>
      <w:tr w14:paraId="603516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DEA15C">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2BA0A09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-0.4187</w:t>
            </w:r>
          </w:p>
        </w:tc>
        <w:tc>
          <w:tcPr>
            <w:tcW w:w="3213" w:type="dxa"/>
            <w:tcBorders>
              <w:top w:val="single" w:color="auto" w:sz="2" w:space="0"/>
              <w:left w:val="single" w:color="auto" w:sz="2" w:space="0"/>
              <w:bottom w:val="single" w:color="auto" w:sz="2" w:space="0"/>
              <w:right w:val="single" w:color="auto" w:sz="2" w:space="0"/>
            </w:tcBorders>
            <w:vAlign w:val="center"/>
          </w:tcPr>
          <w:p w14:paraId="12EC60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-0.2263</w:t>
            </w:r>
          </w:p>
        </w:tc>
      </w:tr>
    </w:tbl>
    <w:p w14:paraId="5397775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本期发生同一控制下企业合并的，被合并方在合并前实现的净利润为：元，上期被合并方实现的净利润为：元。</w:t>
      </w:r>
    </w:p>
    <w:p w14:paraId="15676EC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法定代表人：李国平主管会计工作负责人：官建辉会计机构负责人：林艳虹</w:t>
      </w:r>
    </w:p>
    <w:p w14:paraId="34DC367F">
      <w:pPr>
        <w:keepNext/>
        <w:keepLines/>
        <w:spacing w:before="300" w:after="300" w:line="280" w:lineRule="exact"/>
        <w:jc w:val="left"/>
        <w:outlineLvl w:val="2"/>
        <w:rPr>
          <w:rFonts w:ascii="宋体" w:hAnsi="宋体" w:eastAsia="宋体" w:cs="宋体"/>
          <w:b/>
          <w:bCs/>
          <w:color w:val="auto"/>
          <w:sz w:val="21"/>
          <w:szCs w:val="21"/>
        </w:rPr>
      </w:pPr>
      <w:bookmarkStart w:id="6" w:name="_Toc988982"/>
      <w:r>
        <w:rPr>
          <w:rFonts w:ascii="宋体" w:hAnsi="宋体" w:eastAsia="宋体" w:cs="宋体"/>
          <w:b/>
          <w:bCs/>
          <w:color w:val="auto"/>
          <w:sz w:val="21"/>
          <w:szCs w:val="21"/>
        </w:rPr>
        <w:t>4、母公司利润表</w:t>
      </w:r>
      <w:bookmarkEnd w:id="6"/>
    </w:p>
    <w:p w14:paraId="17A5F2C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4E12A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4F20C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CF1D5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2025年半年度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3B9AB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2024年半年度</w:t>
            </w:r>
          </w:p>
        </w:tc>
      </w:tr>
      <w:tr w14:paraId="22BCE2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B4B14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2D33CF1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94,159,319.22</w:t>
            </w:r>
          </w:p>
        </w:tc>
        <w:tc>
          <w:tcPr>
            <w:tcW w:w="3213" w:type="dxa"/>
            <w:tcBorders>
              <w:top w:val="single" w:color="auto" w:sz="2" w:space="0"/>
              <w:left w:val="single" w:color="auto" w:sz="2" w:space="0"/>
              <w:bottom w:val="single" w:color="auto" w:sz="2" w:space="0"/>
              <w:right w:val="single" w:color="auto" w:sz="2" w:space="0"/>
            </w:tcBorders>
            <w:vAlign w:val="center"/>
          </w:tcPr>
          <w:p w14:paraId="0DB9373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135,268,293.86</w:t>
            </w:r>
          </w:p>
        </w:tc>
      </w:tr>
      <w:tr w14:paraId="57E1A4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F0DC0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减：营业成本</w:t>
            </w:r>
          </w:p>
        </w:tc>
        <w:tc>
          <w:tcPr>
            <w:tcW w:w="3213" w:type="dxa"/>
            <w:tcBorders>
              <w:top w:val="single" w:color="auto" w:sz="2" w:space="0"/>
              <w:left w:val="single" w:color="auto" w:sz="2" w:space="0"/>
              <w:bottom w:val="single" w:color="auto" w:sz="2" w:space="0"/>
              <w:right w:val="single" w:color="auto" w:sz="2" w:space="0"/>
            </w:tcBorders>
            <w:vAlign w:val="center"/>
          </w:tcPr>
          <w:p w14:paraId="321072C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55,296,288.06</w:t>
            </w:r>
          </w:p>
        </w:tc>
        <w:tc>
          <w:tcPr>
            <w:tcW w:w="3213" w:type="dxa"/>
            <w:tcBorders>
              <w:top w:val="single" w:color="auto" w:sz="2" w:space="0"/>
              <w:left w:val="single" w:color="auto" w:sz="2" w:space="0"/>
              <w:bottom w:val="single" w:color="auto" w:sz="2" w:space="0"/>
              <w:right w:val="single" w:color="auto" w:sz="2" w:space="0"/>
            </w:tcBorders>
            <w:vAlign w:val="center"/>
          </w:tcPr>
          <w:p w14:paraId="125D925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79,740,478.44</w:t>
            </w:r>
          </w:p>
        </w:tc>
      </w:tr>
      <w:tr w14:paraId="7E56BE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4A98CA">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14:paraId="1C5E5F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2,085,267.93</w:t>
            </w:r>
          </w:p>
        </w:tc>
        <w:tc>
          <w:tcPr>
            <w:tcW w:w="3213" w:type="dxa"/>
            <w:tcBorders>
              <w:top w:val="single" w:color="auto" w:sz="2" w:space="0"/>
              <w:left w:val="single" w:color="auto" w:sz="2" w:space="0"/>
              <w:bottom w:val="single" w:color="auto" w:sz="2" w:space="0"/>
              <w:right w:val="single" w:color="auto" w:sz="2" w:space="0"/>
            </w:tcBorders>
            <w:vAlign w:val="center"/>
          </w:tcPr>
          <w:p w14:paraId="632D10D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2,226,789.99</w:t>
            </w:r>
          </w:p>
        </w:tc>
      </w:tr>
      <w:tr w14:paraId="09E763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BB9364">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14:paraId="05374D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22,945,224.47</w:t>
            </w:r>
          </w:p>
        </w:tc>
        <w:tc>
          <w:tcPr>
            <w:tcW w:w="3213" w:type="dxa"/>
            <w:tcBorders>
              <w:top w:val="single" w:color="auto" w:sz="2" w:space="0"/>
              <w:left w:val="single" w:color="auto" w:sz="2" w:space="0"/>
              <w:bottom w:val="single" w:color="auto" w:sz="2" w:space="0"/>
              <w:right w:val="single" w:color="auto" w:sz="2" w:space="0"/>
            </w:tcBorders>
            <w:vAlign w:val="center"/>
          </w:tcPr>
          <w:p w14:paraId="0B2F65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23,435,197.28</w:t>
            </w:r>
          </w:p>
        </w:tc>
      </w:tr>
      <w:tr w14:paraId="131086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36A002">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14:paraId="4B9D55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33,991,278.74</w:t>
            </w:r>
          </w:p>
        </w:tc>
        <w:tc>
          <w:tcPr>
            <w:tcW w:w="3213" w:type="dxa"/>
            <w:tcBorders>
              <w:top w:val="single" w:color="auto" w:sz="2" w:space="0"/>
              <w:left w:val="single" w:color="auto" w:sz="2" w:space="0"/>
              <w:bottom w:val="single" w:color="auto" w:sz="2" w:space="0"/>
              <w:right w:val="single" w:color="auto" w:sz="2" w:space="0"/>
            </w:tcBorders>
            <w:vAlign w:val="center"/>
          </w:tcPr>
          <w:p w14:paraId="2BAE90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35,155,471.47</w:t>
            </w:r>
          </w:p>
        </w:tc>
      </w:tr>
      <w:tr w14:paraId="6C6A15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7B8535">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156DA0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5,029,410.61</w:t>
            </w:r>
          </w:p>
        </w:tc>
        <w:tc>
          <w:tcPr>
            <w:tcW w:w="3213" w:type="dxa"/>
            <w:tcBorders>
              <w:top w:val="single" w:color="auto" w:sz="2" w:space="0"/>
              <w:left w:val="single" w:color="auto" w:sz="2" w:space="0"/>
              <w:bottom w:val="single" w:color="auto" w:sz="2" w:space="0"/>
              <w:right w:val="single" w:color="auto" w:sz="2" w:space="0"/>
            </w:tcBorders>
            <w:vAlign w:val="center"/>
          </w:tcPr>
          <w:p w14:paraId="161B9C0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5,503,725.28</w:t>
            </w:r>
          </w:p>
        </w:tc>
      </w:tr>
      <w:tr w14:paraId="1212FC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E5CBF3">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059FB45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5,814,087.48</w:t>
            </w:r>
          </w:p>
        </w:tc>
        <w:tc>
          <w:tcPr>
            <w:tcW w:w="3213" w:type="dxa"/>
            <w:tcBorders>
              <w:top w:val="single" w:color="auto" w:sz="2" w:space="0"/>
              <w:left w:val="single" w:color="auto" w:sz="2" w:space="0"/>
              <w:bottom w:val="single" w:color="auto" w:sz="2" w:space="0"/>
              <w:right w:val="single" w:color="auto" w:sz="2" w:space="0"/>
            </w:tcBorders>
            <w:vAlign w:val="center"/>
          </w:tcPr>
          <w:p w14:paraId="07BADE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6,198,738.70</w:t>
            </w:r>
          </w:p>
        </w:tc>
      </w:tr>
      <w:tr w14:paraId="7890D1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2B1544">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4D206E5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6,826,098.02</w:t>
            </w:r>
          </w:p>
        </w:tc>
        <w:tc>
          <w:tcPr>
            <w:tcW w:w="3213" w:type="dxa"/>
            <w:tcBorders>
              <w:top w:val="single" w:color="auto" w:sz="2" w:space="0"/>
              <w:left w:val="single" w:color="auto" w:sz="2" w:space="0"/>
              <w:bottom w:val="single" w:color="auto" w:sz="2" w:space="0"/>
              <w:right w:val="single" w:color="auto" w:sz="2" w:space="0"/>
            </w:tcBorders>
            <w:vAlign w:val="center"/>
          </w:tcPr>
          <w:p w14:paraId="048344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7,930,673.90</w:t>
            </w:r>
          </w:p>
        </w:tc>
      </w:tr>
      <w:tr w14:paraId="7A4080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239A7D">
            <w:pPr>
              <w:spacing w:before="40" w:after="40" w:line="240" w:lineRule="exact"/>
              <w:ind w:firstLine="1260" w:firstLineChars="700"/>
              <w:jc w:val="left"/>
              <w:rPr>
                <w:rFonts w:ascii="宋体" w:hAnsi="宋体" w:eastAsia="宋体" w:cs="宋体"/>
                <w:color w:val="auto"/>
                <w:sz w:val="18"/>
                <w:szCs w:val="18"/>
              </w:rPr>
            </w:pPr>
            <w:r>
              <w:rPr>
                <w:rFonts w:ascii="宋体" w:hAnsi="宋体" w:eastAsia="宋体" w:cs="宋体"/>
                <w:color w:val="auto"/>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7D12010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1,018,648.45</w:t>
            </w:r>
          </w:p>
        </w:tc>
        <w:tc>
          <w:tcPr>
            <w:tcW w:w="3213" w:type="dxa"/>
            <w:tcBorders>
              <w:top w:val="single" w:color="auto" w:sz="2" w:space="0"/>
              <w:left w:val="single" w:color="auto" w:sz="2" w:space="0"/>
              <w:bottom w:val="single" w:color="auto" w:sz="2" w:space="0"/>
              <w:right w:val="single" w:color="auto" w:sz="2" w:space="0"/>
            </w:tcBorders>
            <w:vAlign w:val="center"/>
          </w:tcPr>
          <w:p w14:paraId="18E44F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1,735,446.30</w:t>
            </w:r>
          </w:p>
        </w:tc>
      </w:tr>
      <w:tr w14:paraId="7323C2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0A3042">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2BE5F8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1,663,620.13</w:t>
            </w:r>
          </w:p>
        </w:tc>
        <w:tc>
          <w:tcPr>
            <w:tcW w:w="3213" w:type="dxa"/>
            <w:tcBorders>
              <w:top w:val="single" w:color="auto" w:sz="2" w:space="0"/>
              <w:left w:val="single" w:color="auto" w:sz="2" w:space="0"/>
              <w:bottom w:val="single" w:color="auto" w:sz="2" w:space="0"/>
              <w:right w:val="single" w:color="auto" w:sz="2" w:space="0"/>
            </w:tcBorders>
            <w:vAlign w:val="center"/>
          </w:tcPr>
          <w:p w14:paraId="37D556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5,398,558.38</w:t>
            </w:r>
          </w:p>
        </w:tc>
      </w:tr>
      <w:tr w14:paraId="2FFC22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BAB276">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F7320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9,610,270.50</w:t>
            </w:r>
          </w:p>
        </w:tc>
        <w:tc>
          <w:tcPr>
            <w:tcW w:w="3213" w:type="dxa"/>
            <w:tcBorders>
              <w:top w:val="single" w:color="auto" w:sz="2" w:space="0"/>
              <w:left w:val="single" w:color="auto" w:sz="2" w:space="0"/>
              <w:bottom w:val="single" w:color="auto" w:sz="2" w:space="0"/>
              <w:right w:val="single" w:color="auto" w:sz="2" w:space="0"/>
            </w:tcBorders>
            <w:vAlign w:val="center"/>
          </w:tcPr>
          <w:p w14:paraId="4711E6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17,980,438.80</w:t>
            </w:r>
          </w:p>
        </w:tc>
      </w:tr>
      <w:tr w14:paraId="4F27E5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E14DE3">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745CAE5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3213" w:type="dxa"/>
            <w:tcBorders>
              <w:top w:val="single" w:color="auto" w:sz="2" w:space="0"/>
              <w:left w:val="single" w:color="auto" w:sz="2" w:space="0"/>
              <w:bottom w:val="single" w:color="auto" w:sz="2" w:space="0"/>
              <w:right w:val="single" w:color="auto" w:sz="2" w:space="0"/>
            </w:tcBorders>
            <w:vAlign w:val="center"/>
          </w:tcPr>
          <w:p w14:paraId="704C39D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-2,019,561.20</w:t>
            </w:r>
          </w:p>
        </w:tc>
      </w:tr>
      <w:tr w14:paraId="5C6452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13D66C">
            <w:pPr>
              <w:spacing w:before="40" w:after="40" w:line="240" w:lineRule="exact"/>
              <w:ind w:firstLine="1260" w:firstLineChars="700"/>
              <w:jc w:val="left"/>
              <w:rPr>
                <w:rFonts w:ascii="宋体" w:hAnsi="宋体" w:eastAsia="宋体" w:cs="宋体"/>
                <w:color w:val="auto"/>
                <w:sz w:val="18"/>
                <w:szCs w:val="18"/>
              </w:rPr>
            </w:pPr>
            <w:r>
              <w:rPr>
                <w:rFonts w:ascii="宋体" w:hAnsi="宋体" w:eastAsia="宋体" w:cs="宋体"/>
                <w:color w:val="auto"/>
                <w:sz w:val="18"/>
                <w:szCs w:val="18"/>
              </w:rPr>
              <w:t>以摊余成本计量的金融资产终止确认收益</w:t>
            </w:r>
          </w:p>
        </w:tc>
        <w:tc>
          <w:tcPr>
            <w:tcW w:w="3213" w:type="dxa"/>
            <w:tcBorders>
              <w:top w:val="single" w:color="auto" w:sz="2" w:space="0"/>
              <w:left w:val="single" w:color="auto" w:sz="2" w:space="0"/>
              <w:bottom w:val="single" w:color="auto" w:sz="2" w:space="0"/>
              <w:right w:val="single" w:color="auto" w:sz="2" w:space="0"/>
            </w:tcBorders>
            <w:vAlign w:val="center"/>
          </w:tcPr>
          <w:p w14:paraId="2219999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960D915">
            <w:pPr>
              <w:spacing w:before="0" w:after="0" w:line="240" w:lineRule="exact"/>
              <w:jc w:val="right"/>
              <w:rPr>
                <w:rFonts w:ascii="宋体" w:hAnsi="宋体" w:eastAsia="宋体" w:cs="宋体"/>
                <w:color w:val="auto"/>
                <w:sz w:val="18"/>
                <w:szCs w:val="18"/>
              </w:rPr>
            </w:pPr>
          </w:p>
        </w:tc>
      </w:tr>
      <w:tr w14:paraId="0C06A0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C6F811">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252344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E9BF08">
            <w:pPr>
              <w:spacing w:before="0" w:after="0" w:line="240" w:lineRule="exact"/>
              <w:jc w:val="right"/>
              <w:rPr>
                <w:rFonts w:ascii="宋体" w:hAnsi="宋体" w:eastAsia="宋体" w:cs="宋体"/>
                <w:color w:val="auto"/>
                <w:sz w:val="18"/>
                <w:szCs w:val="18"/>
              </w:rPr>
            </w:pPr>
          </w:p>
        </w:tc>
      </w:tr>
      <w:tr w14:paraId="4DF8A6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8B349A">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D3CEAF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-8,848,888.89</w:t>
            </w:r>
          </w:p>
        </w:tc>
        <w:tc>
          <w:tcPr>
            <w:tcW w:w="3213" w:type="dxa"/>
            <w:tcBorders>
              <w:top w:val="single" w:color="auto" w:sz="2" w:space="0"/>
              <w:left w:val="single" w:color="auto" w:sz="2" w:space="0"/>
              <w:bottom w:val="single" w:color="auto" w:sz="2" w:space="0"/>
              <w:right w:val="single" w:color="auto" w:sz="2" w:space="0"/>
            </w:tcBorders>
            <w:vAlign w:val="center"/>
          </w:tcPr>
          <w:p w14:paraId="16DFF2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-8,897,777.78</w:t>
            </w:r>
          </w:p>
        </w:tc>
      </w:tr>
      <w:tr w14:paraId="2F75F2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CE7526">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EA9A4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-185,139.77</w:t>
            </w:r>
          </w:p>
        </w:tc>
        <w:tc>
          <w:tcPr>
            <w:tcW w:w="3213" w:type="dxa"/>
            <w:tcBorders>
              <w:top w:val="single" w:color="auto" w:sz="2" w:space="0"/>
              <w:left w:val="single" w:color="auto" w:sz="2" w:space="0"/>
              <w:bottom w:val="single" w:color="auto" w:sz="2" w:space="0"/>
              <w:right w:val="single" w:color="auto" w:sz="2" w:space="0"/>
            </w:tcBorders>
            <w:vAlign w:val="center"/>
          </w:tcPr>
          <w:p w14:paraId="33E2F8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56,828.85</w:t>
            </w:r>
          </w:p>
        </w:tc>
      </w:tr>
      <w:tr w14:paraId="65DE1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1F1E48">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8C50A0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-3,577,565.77</w:t>
            </w:r>
          </w:p>
        </w:tc>
        <w:tc>
          <w:tcPr>
            <w:tcW w:w="3213" w:type="dxa"/>
            <w:tcBorders>
              <w:top w:val="single" w:color="auto" w:sz="2" w:space="0"/>
              <w:left w:val="single" w:color="auto" w:sz="2" w:space="0"/>
              <w:bottom w:val="single" w:color="auto" w:sz="2" w:space="0"/>
              <w:right w:val="single" w:color="auto" w:sz="2" w:space="0"/>
            </w:tcBorders>
            <w:vAlign w:val="center"/>
          </w:tcPr>
          <w:p w14:paraId="32495E5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-2,010,844.39</w:t>
            </w:r>
          </w:p>
        </w:tc>
      </w:tr>
      <w:tr w14:paraId="48B923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EDE5DF">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6EFD78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841DE5">
            <w:pPr>
              <w:spacing w:before="0" w:after="0" w:line="240" w:lineRule="exact"/>
              <w:jc w:val="right"/>
              <w:rPr>
                <w:rFonts w:ascii="宋体" w:hAnsi="宋体" w:eastAsia="宋体" w:cs="宋体"/>
                <w:color w:val="auto"/>
                <w:sz w:val="18"/>
                <w:szCs w:val="18"/>
              </w:rPr>
            </w:pPr>
          </w:p>
        </w:tc>
      </w:tr>
      <w:tr w14:paraId="37F06D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98C7B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FC498D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-32,339,941.87</w:t>
            </w:r>
          </w:p>
        </w:tc>
        <w:tc>
          <w:tcPr>
            <w:tcW w:w="3213" w:type="dxa"/>
            <w:tcBorders>
              <w:top w:val="single" w:color="auto" w:sz="2" w:space="0"/>
              <w:left w:val="single" w:color="auto" w:sz="2" w:space="0"/>
              <w:bottom w:val="single" w:color="auto" w:sz="2" w:space="0"/>
              <w:right w:val="single" w:color="auto" w:sz="2" w:space="0"/>
            </w:tcBorders>
            <w:vAlign w:val="center"/>
          </w:tcPr>
          <w:p w14:paraId="3850123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-4,464,903.44</w:t>
            </w:r>
          </w:p>
        </w:tc>
      </w:tr>
      <w:tr w14:paraId="3E8DD8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74B8FD">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5A249AC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142,704.44</w:t>
            </w:r>
          </w:p>
        </w:tc>
        <w:tc>
          <w:tcPr>
            <w:tcW w:w="3213" w:type="dxa"/>
            <w:tcBorders>
              <w:top w:val="single" w:color="auto" w:sz="2" w:space="0"/>
              <w:left w:val="single" w:color="auto" w:sz="2" w:space="0"/>
              <w:bottom w:val="single" w:color="auto" w:sz="2" w:space="0"/>
              <w:right w:val="single" w:color="auto" w:sz="2" w:space="0"/>
            </w:tcBorders>
            <w:vAlign w:val="center"/>
          </w:tcPr>
          <w:p w14:paraId="241B781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69,595.52</w:t>
            </w:r>
          </w:p>
        </w:tc>
      </w:tr>
      <w:tr w14:paraId="5E85D9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E72636">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14:paraId="1CA70E9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219,835.73</w:t>
            </w:r>
          </w:p>
        </w:tc>
        <w:tc>
          <w:tcPr>
            <w:tcW w:w="3213" w:type="dxa"/>
            <w:tcBorders>
              <w:top w:val="single" w:color="auto" w:sz="2" w:space="0"/>
              <w:left w:val="single" w:color="auto" w:sz="2" w:space="0"/>
              <w:bottom w:val="single" w:color="auto" w:sz="2" w:space="0"/>
              <w:right w:val="single" w:color="auto" w:sz="2" w:space="0"/>
            </w:tcBorders>
            <w:vAlign w:val="center"/>
          </w:tcPr>
          <w:p w14:paraId="149E77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15,471.96</w:t>
            </w:r>
          </w:p>
        </w:tc>
      </w:tr>
      <w:tr w14:paraId="27B427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23F0A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60DBA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-32,417,073.16</w:t>
            </w:r>
          </w:p>
        </w:tc>
        <w:tc>
          <w:tcPr>
            <w:tcW w:w="3213" w:type="dxa"/>
            <w:tcBorders>
              <w:top w:val="single" w:color="auto" w:sz="2" w:space="0"/>
              <w:left w:val="single" w:color="auto" w:sz="2" w:space="0"/>
              <w:bottom w:val="single" w:color="auto" w:sz="2" w:space="0"/>
              <w:right w:val="single" w:color="auto" w:sz="2" w:space="0"/>
            </w:tcBorders>
            <w:vAlign w:val="center"/>
          </w:tcPr>
          <w:p w14:paraId="54E57A8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-4,410,779.88</w:t>
            </w:r>
          </w:p>
        </w:tc>
      </w:tr>
      <w:tr w14:paraId="0BC78F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4DFB17">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48EAE92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38F5028">
            <w:pPr>
              <w:spacing w:before="0" w:after="0" w:line="240" w:lineRule="exact"/>
              <w:jc w:val="right"/>
              <w:rPr>
                <w:rFonts w:ascii="宋体" w:hAnsi="宋体" w:eastAsia="宋体" w:cs="宋体"/>
                <w:color w:val="auto"/>
                <w:sz w:val="18"/>
                <w:szCs w:val="18"/>
              </w:rPr>
            </w:pPr>
          </w:p>
        </w:tc>
      </w:tr>
      <w:tr w14:paraId="41A439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30012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四、净利润（净亏损以“—”号填列）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89568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-32,417,073.16</w:t>
            </w:r>
          </w:p>
        </w:tc>
        <w:tc>
          <w:tcPr>
            <w:tcW w:w="3213" w:type="dxa"/>
            <w:tcBorders>
              <w:top w:val="single" w:color="auto" w:sz="2" w:space="0"/>
              <w:left w:val="single" w:color="auto" w:sz="2" w:space="0"/>
              <w:bottom w:val="single" w:color="auto" w:sz="2" w:space="0"/>
              <w:right w:val="single" w:color="auto" w:sz="2" w:space="0"/>
            </w:tcBorders>
            <w:vAlign w:val="center"/>
          </w:tcPr>
          <w:p w14:paraId="78A818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-4,410,779.88</w:t>
            </w:r>
          </w:p>
        </w:tc>
      </w:tr>
      <w:tr w14:paraId="2D38DC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273E3F">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（一）持续经营净利润（净亏损以“—”号填列）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E2A63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-32,417,073.16</w:t>
            </w:r>
          </w:p>
        </w:tc>
        <w:tc>
          <w:tcPr>
            <w:tcW w:w="3213" w:type="dxa"/>
            <w:tcBorders>
              <w:top w:val="single" w:color="auto" w:sz="2" w:space="0"/>
              <w:left w:val="single" w:color="auto" w:sz="2" w:space="0"/>
              <w:bottom w:val="single" w:color="auto" w:sz="2" w:space="0"/>
              <w:right w:val="single" w:color="auto" w:sz="2" w:space="0"/>
            </w:tcBorders>
            <w:vAlign w:val="center"/>
          </w:tcPr>
          <w:p w14:paraId="79E2F2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-4,410,779.88</w:t>
            </w:r>
          </w:p>
        </w:tc>
      </w:tr>
      <w:tr w14:paraId="72A85B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A44FD6">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（二）终止经营净利润（净亏损以“—”号填列）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094213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357D4E">
            <w:pPr>
              <w:spacing w:before="0" w:after="0" w:line="240" w:lineRule="exact"/>
              <w:jc w:val="right"/>
              <w:rPr>
                <w:rFonts w:ascii="宋体" w:hAnsi="宋体" w:eastAsia="宋体" w:cs="宋体"/>
                <w:color w:val="auto"/>
                <w:sz w:val="18"/>
                <w:szCs w:val="18"/>
              </w:rPr>
            </w:pPr>
          </w:p>
        </w:tc>
      </w:tr>
      <w:tr w14:paraId="4E160C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EAE15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五、其他综合收益的税后净额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7DDF25D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8E837C">
            <w:pPr>
              <w:spacing w:before="0" w:after="0" w:line="240" w:lineRule="exact"/>
              <w:jc w:val="right"/>
              <w:rPr>
                <w:rFonts w:ascii="宋体" w:hAnsi="宋体" w:eastAsia="宋体" w:cs="宋体"/>
                <w:color w:val="auto"/>
                <w:sz w:val="18"/>
                <w:szCs w:val="18"/>
              </w:rPr>
            </w:pPr>
          </w:p>
        </w:tc>
      </w:tr>
      <w:tr w14:paraId="715B12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C0D730">
            <w:pPr>
              <w:spacing w:before="0" w:after="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37CF6E0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3D458B">
            <w:pPr>
              <w:spacing w:before="0" w:after="0" w:line="240" w:lineRule="exact"/>
              <w:jc w:val="right"/>
              <w:rPr>
                <w:rFonts w:ascii="宋体" w:hAnsi="宋体" w:eastAsia="宋体" w:cs="宋体"/>
                <w:color w:val="auto"/>
                <w:sz w:val="18"/>
                <w:szCs w:val="18"/>
              </w:rPr>
            </w:pPr>
          </w:p>
        </w:tc>
      </w:tr>
      <w:tr w14:paraId="408197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5D6413">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14:paraId="3EC0A08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0610B67">
            <w:pPr>
              <w:spacing w:before="0" w:after="0" w:line="240" w:lineRule="exact"/>
              <w:jc w:val="right"/>
              <w:rPr>
                <w:rFonts w:ascii="宋体" w:hAnsi="宋体" w:eastAsia="宋体" w:cs="宋体"/>
                <w:color w:val="auto"/>
                <w:sz w:val="18"/>
                <w:szCs w:val="18"/>
              </w:rPr>
            </w:pPr>
          </w:p>
        </w:tc>
      </w:tr>
      <w:tr w14:paraId="14E0AD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6C7FE0">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33F7BF7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2DF138B">
            <w:pPr>
              <w:spacing w:before="0" w:after="0" w:line="240" w:lineRule="exact"/>
              <w:jc w:val="right"/>
              <w:rPr>
                <w:rFonts w:ascii="宋体" w:hAnsi="宋体" w:eastAsia="宋体" w:cs="宋体"/>
                <w:color w:val="auto"/>
                <w:sz w:val="18"/>
                <w:szCs w:val="18"/>
              </w:rPr>
            </w:pPr>
          </w:p>
        </w:tc>
      </w:tr>
      <w:tr w14:paraId="59E77B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50A910">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0EB5F4E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9FC12F">
            <w:pPr>
              <w:spacing w:before="0" w:after="0" w:line="240" w:lineRule="exact"/>
              <w:jc w:val="right"/>
              <w:rPr>
                <w:rFonts w:ascii="宋体" w:hAnsi="宋体" w:eastAsia="宋体" w:cs="宋体"/>
                <w:color w:val="auto"/>
                <w:sz w:val="18"/>
                <w:szCs w:val="18"/>
              </w:rPr>
            </w:pPr>
          </w:p>
        </w:tc>
      </w:tr>
      <w:tr w14:paraId="2C947B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50B264">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4FD398C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F9C83DC">
            <w:pPr>
              <w:spacing w:before="0" w:after="0" w:line="240" w:lineRule="exact"/>
              <w:jc w:val="right"/>
              <w:rPr>
                <w:rFonts w:ascii="宋体" w:hAnsi="宋体" w:eastAsia="宋体" w:cs="宋体"/>
                <w:color w:val="auto"/>
                <w:sz w:val="18"/>
                <w:szCs w:val="18"/>
              </w:rPr>
            </w:pPr>
          </w:p>
        </w:tc>
      </w:tr>
      <w:tr w14:paraId="414E80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7E7BBA">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5.其他</w:t>
            </w:r>
          </w:p>
        </w:tc>
        <w:tc>
          <w:tcPr>
            <w:tcW w:w="3213" w:type="dxa"/>
            <w:tcBorders>
              <w:top w:val="single" w:color="auto" w:sz="2" w:space="0"/>
              <w:left w:val="single" w:color="auto" w:sz="2" w:space="0"/>
              <w:bottom w:val="single" w:color="auto" w:sz="2" w:space="0"/>
              <w:right w:val="single" w:color="auto" w:sz="2" w:space="0"/>
            </w:tcBorders>
            <w:vAlign w:val="center"/>
          </w:tcPr>
          <w:p w14:paraId="407E432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03F8859">
            <w:pPr>
              <w:spacing w:before="0" w:after="0" w:line="240" w:lineRule="exact"/>
              <w:jc w:val="right"/>
              <w:rPr>
                <w:rFonts w:ascii="宋体" w:hAnsi="宋体" w:eastAsia="宋体" w:cs="宋体"/>
                <w:color w:val="auto"/>
                <w:sz w:val="18"/>
                <w:szCs w:val="18"/>
              </w:rPr>
            </w:pPr>
          </w:p>
        </w:tc>
      </w:tr>
      <w:tr w14:paraId="56B8F6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4A0149">
            <w:pPr>
              <w:spacing w:before="0" w:after="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44BEE53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A59A9B7">
            <w:pPr>
              <w:spacing w:before="0" w:after="0" w:line="240" w:lineRule="exact"/>
              <w:jc w:val="right"/>
              <w:rPr>
                <w:rFonts w:ascii="宋体" w:hAnsi="宋体" w:eastAsia="宋体" w:cs="宋体"/>
                <w:color w:val="auto"/>
                <w:sz w:val="18"/>
                <w:szCs w:val="18"/>
              </w:rPr>
            </w:pPr>
          </w:p>
        </w:tc>
      </w:tr>
      <w:tr w14:paraId="01EF78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CE7F9C">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553C590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921CCE">
            <w:pPr>
              <w:spacing w:before="0" w:after="0" w:line="240" w:lineRule="exact"/>
              <w:jc w:val="right"/>
              <w:rPr>
                <w:rFonts w:ascii="宋体" w:hAnsi="宋体" w:eastAsia="宋体" w:cs="宋体"/>
                <w:color w:val="auto"/>
                <w:sz w:val="18"/>
                <w:szCs w:val="18"/>
              </w:rPr>
            </w:pPr>
          </w:p>
        </w:tc>
      </w:tr>
      <w:tr w14:paraId="31F4E3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9EB3FF">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24A61BA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89990D3">
            <w:pPr>
              <w:spacing w:before="0" w:after="0" w:line="240" w:lineRule="exact"/>
              <w:jc w:val="right"/>
              <w:rPr>
                <w:rFonts w:ascii="宋体" w:hAnsi="宋体" w:eastAsia="宋体" w:cs="宋体"/>
                <w:color w:val="auto"/>
                <w:sz w:val="18"/>
                <w:szCs w:val="18"/>
              </w:rPr>
            </w:pPr>
          </w:p>
        </w:tc>
      </w:tr>
      <w:tr w14:paraId="27E5A3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F049EC">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14:paraId="67E070D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C3AB55A">
            <w:pPr>
              <w:spacing w:before="0" w:after="0" w:line="240" w:lineRule="exact"/>
              <w:jc w:val="right"/>
              <w:rPr>
                <w:rFonts w:ascii="宋体" w:hAnsi="宋体" w:eastAsia="宋体" w:cs="宋体"/>
                <w:color w:val="auto"/>
                <w:sz w:val="18"/>
                <w:szCs w:val="18"/>
              </w:rPr>
            </w:pPr>
          </w:p>
        </w:tc>
      </w:tr>
      <w:tr w14:paraId="7CC3A4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9BC065">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504E6A8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E722AFB">
            <w:pPr>
              <w:spacing w:before="0" w:after="0" w:line="240" w:lineRule="exact"/>
              <w:jc w:val="right"/>
              <w:rPr>
                <w:rFonts w:ascii="宋体" w:hAnsi="宋体" w:eastAsia="宋体" w:cs="宋体"/>
                <w:color w:val="auto"/>
                <w:sz w:val="18"/>
                <w:szCs w:val="18"/>
              </w:rPr>
            </w:pPr>
          </w:p>
        </w:tc>
      </w:tr>
      <w:tr w14:paraId="1D568F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DFDE13">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14:paraId="11E950A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E0162C">
            <w:pPr>
              <w:spacing w:before="0" w:after="0" w:line="240" w:lineRule="exact"/>
              <w:jc w:val="right"/>
              <w:rPr>
                <w:rFonts w:ascii="宋体" w:hAnsi="宋体" w:eastAsia="宋体" w:cs="宋体"/>
                <w:color w:val="auto"/>
                <w:sz w:val="18"/>
                <w:szCs w:val="18"/>
              </w:rPr>
            </w:pPr>
          </w:p>
        </w:tc>
      </w:tr>
      <w:tr w14:paraId="48337D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39E320">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14:paraId="356AD0A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4A94D89">
            <w:pPr>
              <w:spacing w:before="0" w:after="0" w:line="240" w:lineRule="exact"/>
              <w:jc w:val="right"/>
              <w:rPr>
                <w:rFonts w:ascii="宋体" w:hAnsi="宋体" w:eastAsia="宋体" w:cs="宋体"/>
                <w:color w:val="auto"/>
                <w:sz w:val="18"/>
                <w:szCs w:val="18"/>
              </w:rPr>
            </w:pPr>
          </w:p>
        </w:tc>
      </w:tr>
      <w:tr w14:paraId="0097B7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26D1C1">
            <w:pPr>
              <w:spacing w:before="0" w:after="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7.其他</w:t>
            </w:r>
          </w:p>
        </w:tc>
        <w:tc>
          <w:tcPr>
            <w:tcW w:w="3213" w:type="dxa"/>
            <w:tcBorders>
              <w:top w:val="single" w:color="auto" w:sz="2" w:space="0"/>
              <w:left w:val="single" w:color="auto" w:sz="2" w:space="0"/>
              <w:bottom w:val="single" w:color="auto" w:sz="2" w:space="0"/>
              <w:right w:val="single" w:color="auto" w:sz="2" w:space="0"/>
            </w:tcBorders>
            <w:vAlign w:val="center"/>
          </w:tcPr>
          <w:p w14:paraId="16DA1CF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F7D0F7">
            <w:pPr>
              <w:spacing w:before="0" w:after="0" w:line="240" w:lineRule="exact"/>
              <w:jc w:val="right"/>
              <w:rPr>
                <w:rFonts w:ascii="宋体" w:hAnsi="宋体" w:eastAsia="宋体" w:cs="宋体"/>
                <w:color w:val="auto"/>
                <w:sz w:val="18"/>
                <w:szCs w:val="18"/>
              </w:rPr>
            </w:pPr>
          </w:p>
        </w:tc>
      </w:tr>
      <w:tr w14:paraId="0B0485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23F7F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六、综合收益总额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4E5616C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-32,417,073.16</w:t>
            </w:r>
          </w:p>
        </w:tc>
        <w:tc>
          <w:tcPr>
            <w:tcW w:w="3213" w:type="dxa"/>
            <w:tcBorders>
              <w:top w:val="single" w:color="auto" w:sz="2" w:space="0"/>
              <w:left w:val="single" w:color="auto" w:sz="2" w:space="0"/>
              <w:bottom w:val="single" w:color="auto" w:sz="2" w:space="0"/>
              <w:right w:val="single" w:color="auto" w:sz="2" w:space="0"/>
            </w:tcBorders>
            <w:vAlign w:val="center"/>
          </w:tcPr>
          <w:p w14:paraId="61B195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-4,410,779.88</w:t>
            </w:r>
          </w:p>
        </w:tc>
      </w:tr>
      <w:tr w14:paraId="2574EA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8ECC9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七、每股收益：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71695D">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C0965A">
            <w:pPr>
              <w:rPr>
                <w:color w:val="auto"/>
              </w:rPr>
            </w:pPr>
          </w:p>
        </w:tc>
      </w:tr>
      <w:tr w14:paraId="001135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5325B5">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147F46A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79283A">
            <w:pPr>
              <w:spacing w:before="0" w:after="0" w:line="240" w:lineRule="exact"/>
              <w:jc w:val="right"/>
              <w:rPr>
                <w:rFonts w:ascii="宋体" w:hAnsi="宋体" w:eastAsia="宋体" w:cs="宋体"/>
                <w:color w:val="auto"/>
                <w:sz w:val="18"/>
                <w:szCs w:val="18"/>
              </w:rPr>
            </w:pPr>
          </w:p>
        </w:tc>
      </w:tr>
      <w:tr w14:paraId="48E0B6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70CB5D">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7C7DB01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8BA6A6">
            <w:pPr>
              <w:spacing w:before="0" w:after="0" w:line="240" w:lineRule="exact"/>
              <w:jc w:val="right"/>
              <w:rPr>
                <w:rFonts w:ascii="宋体" w:hAnsi="宋体" w:eastAsia="宋体" w:cs="宋体"/>
                <w:color w:val="auto"/>
                <w:sz w:val="18"/>
                <w:szCs w:val="18"/>
              </w:rPr>
            </w:pPr>
          </w:p>
        </w:tc>
      </w:tr>
    </w:tbl>
    <w:p w14:paraId="2A996A6B">
      <w:pPr>
        <w:keepNext/>
        <w:keepLines/>
        <w:spacing w:before="300" w:after="300" w:line="280" w:lineRule="exact"/>
        <w:jc w:val="left"/>
        <w:outlineLvl w:val="2"/>
        <w:rPr>
          <w:rFonts w:ascii="宋体" w:hAnsi="宋体" w:eastAsia="宋体" w:cs="宋体"/>
          <w:b/>
          <w:bCs/>
          <w:color w:val="auto"/>
          <w:sz w:val="21"/>
          <w:szCs w:val="21"/>
        </w:rPr>
      </w:pPr>
      <w:bookmarkStart w:id="7" w:name="_Toc988983"/>
      <w:r>
        <w:rPr>
          <w:rFonts w:ascii="宋体" w:hAnsi="宋体" w:eastAsia="宋体" w:cs="宋体"/>
          <w:b/>
          <w:bCs/>
          <w:color w:val="auto"/>
          <w:sz w:val="21"/>
          <w:szCs w:val="21"/>
        </w:rPr>
        <w:t>5、合并现金流量表</w:t>
      </w:r>
      <w:bookmarkEnd w:id="7"/>
    </w:p>
    <w:p w14:paraId="436EC7C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300A1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1D0230">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2905C0">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2025年半年度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760C43">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2024年半年度</w:t>
            </w:r>
          </w:p>
        </w:tc>
      </w:tr>
      <w:tr w14:paraId="76AF87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5C404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7208B9">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C96135">
            <w:pPr>
              <w:rPr>
                <w:color w:val="auto"/>
              </w:rPr>
            </w:pPr>
          </w:p>
        </w:tc>
      </w:tr>
      <w:tr w14:paraId="74BD3A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F5250D">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D4C96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223,566,339.39</w:t>
            </w:r>
          </w:p>
        </w:tc>
        <w:tc>
          <w:tcPr>
            <w:tcW w:w="3213" w:type="dxa"/>
            <w:tcBorders>
              <w:top w:val="single" w:color="auto" w:sz="2" w:space="0"/>
              <w:left w:val="single" w:color="auto" w:sz="2" w:space="0"/>
              <w:bottom w:val="single" w:color="auto" w:sz="2" w:space="0"/>
              <w:right w:val="single" w:color="auto" w:sz="2" w:space="0"/>
            </w:tcBorders>
            <w:vAlign w:val="center"/>
          </w:tcPr>
          <w:p w14:paraId="686CF46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247,104,197.06</w:t>
            </w:r>
          </w:p>
        </w:tc>
      </w:tr>
      <w:tr w14:paraId="0808FB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24173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客户存款和同业存放款项净增加额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741C918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574A6C">
            <w:pPr>
              <w:spacing w:before="0" w:after="0" w:line="240" w:lineRule="exact"/>
              <w:jc w:val="right"/>
              <w:rPr>
                <w:rFonts w:ascii="宋体" w:hAnsi="宋体" w:eastAsia="宋体" w:cs="宋体"/>
                <w:color w:val="auto"/>
                <w:sz w:val="18"/>
                <w:szCs w:val="18"/>
              </w:rPr>
            </w:pPr>
          </w:p>
        </w:tc>
      </w:tr>
      <w:tr w14:paraId="30F07F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B0E44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向中央银行借款净增加额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2B384EA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1DE3AC">
            <w:pPr>
              <w:spacing w:before="0" w:after="0" w:line="240" w:lineRule="exact"/>
              <w:jc w:val="right"/>
              <w:rPr>
                <w:rFonts w:ascii="宋体" w:hAnsi="宋体" w:eastAsia="宋体" w:cs="宋体"/>
                <w:color w:val="auto"/>
                <w:sz w:val="18"/>
                <w:szCs w:val="18"/>
              </w:rPr>
            </w:pPr>
          </w:p>
        </w:tc>
      </w:tr>
      <w:tr w14:paraId="22B2BF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7E4D49">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向其他金融机构拆入资金净增加额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28732B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EF8E36">
            <w:pPr>
              <w:spacing w:before="0" w:after="0" w:line="240" w:lineRule="exact"/>
              <w:jc w:val="right"/>
              <w:rPr>
                <w:rFonts w:ascii="宋体" w:hAnsi="宋体" w:eastAsia="宋体" w:cs="宋体"/>
                <w:color w:val="auto"/>
                <w:sz w:val="18"/>
                <w:szCs w:val="18"/>
              </w:rPr>
            </w:pPr>
          </w:p>
        </w:tc>
      </w:tr>
      <w:tr w14:paraId="461954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4E7A8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收到原保险合同保费取得的现金</w:t>
            </w:r>
          </w:p>
        </w:tc>
        <w:tc>
          <w:tcPr>
            <w:tcW w:w="3213" w:type="dxa"/>
            <w:tcBorders>
              <w:top w:val="single" w:color="auto" w:sz="2" w:space="0"/>
              <w:left w:val="single" w:color="auto" w:sz="2" w:space="0"/>
              <w:bottom w:val="single" w:color="auto" w:sz="2" w:space="0"/>
              <w:right w:val="single" w:color="auto" w:sz="2" w:space="0"/>
            </w:tcBorders>
            <w:vAlign w:val="center"/>
          </w:tcPr>
          <w:p w14:paraId="655F364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D6C4A3">
            <w:pPr>
              <w:spacing w:before="0" w:after="0" w:line="240" w:lineRule="exact"/>
              <w:jc w:val="right"/>
              <w:rPr>
                <w:rFonts w:ascii="宋体" w:hAnsi="宋体" w:eastAsia="宋体" w:cs="宋体"/>
                <w:color w:val="auto"/>
                <w:sz w:val="18"/>
                <w:szCs w:val="18"/>
              </w:rPr>
            </w:pPr>
          </w:p>
        </w:tc>
      </w:tr>
      <w:tr w14:paraId="38A1DB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2AF13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收到再保业务现金净额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1970661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8C80795">
            <w:pPr>
              <w:spacing w:before="0" w:after="0" w:line="240" w:lineRule="exact"/>
              <w:jc w:val="right"/>
              <w:rPr>
                <w:rFonts w:ascii="宋体" w:hAnsi="宋体" w:eastAsia="宋体" w:cs="宋体"/>
                <w:color w:val="auto"/>
                <w:sz w:val="18"/>
                <w:szCs w:val="18"/>
              </w:rPr>
            </w:pPr>
          </w:p>
        </w:tc>
      </w:tr>
      <w:tr w14:paraId="19C1FB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FE5B51">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保户储金及投资款净增加额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1A58C12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C72A19">
            <w:pPr>
              <w:spacing w:before="0" w:after="0" w:line="240" w:lineRule="exact"/>
              <w:jc w:val="right"/>
              <w:rPr>
                <w:rFonts w:ascii="宋体" w:hAnsi="宋体" w:eastAsia="宋体" w:cs="宋体"/>
                <w:color w:val="auto"/>
                <w:sz w:val="18"/>
                <w:szCs w:val="18"/>
              </w:rPr>
            </w:pPr>
          </w:p>
        </w:tc>
      </w:tr>
      <w:tr w14:paraId="666BD1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F37F2B">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收取利息、手续费及佣金的现金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14:paraId="7995474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7A7D010">
            <w:pPr>
              <w:spacing w:before="0" w:after="0" w:line="240" w:lineRule="exact"/>
              <w:jc w:val="right"/>
              <w:rPr>
                <w:rFonts w:ascii="宋体" w:hAnsi="宋体" w:eastAsia="宋体" w:cs="宋体"/>
                <w:color w:val="auto"/>
                <w:sz w:val="18"/>
                <w:szCs w:val="18"/>
              </w:rPr>
            </w:pPr>
          </w:p>
        </w:tc>
      </w:tr>
      <w:tr w14:paraId="66C748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AF2D0A">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68303AA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477E657">
            <w:pPr>
              <w:spacing w:before="0" w:after="0" w:line="240" w:lineRule="exact"/>
              <w:jc w:val="right"/>
              <w:rPr>
                <w:rFonts w:ascii="宋体" w:hAnsi="宋体" w:eastAsia="宋体" w:cs="宋体"/>
                <w:color w:val="auto"/>
                <w:sz w:val="18"/>
                <w:szCs w:val="18"/>
              </w:rPr>
            </w:pPr>
          </w:p>
        </w:tc>
      </w:tr>
      <w:tr w14:paraId="4617B5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25946C">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回购业务资金净增加额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75CA39E7">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82C4284">
            <w:pPr>
              <w:spacing w:before="0" w:after="0" w:line="240" w:lineRule="exact"/>
              <w:jc w:val="right"/>
              <w:rPr>
                <w:rFonts w:ascii="宋体" w:hAnsi="宋体" w:eastAsia="宋体" w:cs="宋体"/>
                <w:color w:val="auto"/>
                <w:sz w:val="18"/>
                <w:szCs w:val="18"/>
              </w:rPr>
            </w:pPr>
          </w:p>
        </w:tc>
      </w:tr>
      <w:tr w14:paraId="3933B0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AC9B2D">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代理买卖证券收到的现金净额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39FD182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94F889">
            <w:pPr>
              <w:spacing w:before="0" w:after="0" w:line="240" w:lineRule="exact"/>
              <w:jc w:val="right"/>
              <w:rPr>
                <w:rFonts w:ascii="宋体" w:hAnsi="宋体" w:eastAsia="宋体" w:cs="宋体"/>
                <w:color w:val="auto"/>
                <w:sz w:val="18"/>
                <w:szCs w:val="18"/>
              </w:rPr>
            </w:pPr>
          </w:p>
        </w:tc>
      </w:tr>
      <w:tr w14:paraId="10AEDF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C3382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14:paraId="3073948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212963">
            <w:pPr>
              <w:spacing w:before="0" w:after="0" w:line="240" w:lineRule="exact"/>
              <w:jc w:val="right"/>
              <w:rPr>
                <w:rFonts w:ascii="宋体" w:hAnsi="宋体" w:eastAsia="宋体" w:cs="宋体"/>
                <w:color w:val="auto"/>
                <w:sz w:val="18"/>
                <w:szCs w:val="18"/>
              </w:rPr>
            </w:pPr>
          </w:p>
        </w:tc>
      </w:tr>
      <w:tr w14:paraId="79F2FA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123295">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B45EB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14,178,926.88</w:t>
            </w:r>
          </w:p>
        </w:tc>
        <w:tc>
          <w:tcPr>
            <w:tcW w:w="3213" w:type="dxa"/>
            <w:tcBorders>
              <w:top w:val="single" w:color="auto" w:sz="2" w:space="0"/>
              <w:left w:val="single" w:color="auto" w:sz="2" w:space="0"/>
              <w:bottom w:val="single" w:color="auto" w:sz="2" w:space="0"/>
              <w:right w:val="single" w:color="auto" w:sz="2" w:space="0"/>
            </w:tcBorders>
            <w:vAlign w:val="center"/>
          </w:tcPr>
          <w:p w14:paraId="5553CB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14,531,753.28</w:t>
            </w:r>
          </w:p>
        </w:tc>
      </w:tr>
      <w:tr w14:paraId="3D4798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5C23D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5C8EDD9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237,745,266.27</w:t>
            </w:r>
          </w:p>
        </w:tc>
        <w:tc>
          <w:tcPr>
            <w:tcW w:w="3213" w:type="dxa"/>
            <w:tcBorders>
              <w:top w:val="single" w:color="auto" w:sz="2" w:space="0"/>
              <w:left w:val="single" w:color="auto" w:sz="2" w:space="0"/>
              <w:bottom w:val="single" w:color="auto" w:sz="2" w:space="0"/>
              <w:right w:val="single" w:color="auto" w:sz="2" w:space="0"/>
            </w:tcBorders>
            <w:vAlign w:val="center"/>
          </w:tcPr>
          <w:p w14:paraId="022E8F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261,635,950.34</w:t>
            </w:r>
          </w:p>
        </w:tc>
      </w:tr>
      <w:tr w14:paraId="7C4B6E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989F9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277E145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29,481,233.30</w:t>
            </w:r>
          </w:p>
        </w:tc>
        <w:tc>
          <w:tcPr>
            <w:tcW w:w="3213" w:type="dxa"/>
            <w:tcBorders>
              <w:top w:val="single" w:color="auto" w:sz="2" w:space="0"/>
              <w:left w:val="single" w:color="auto" w:sz="2" w:space="0"/>
              <w:bottom w:val="single" w:color="auto" w:sz="2" w:space="0"/>
              <w:right w:val="single" w:color="auto" w:sz="2" w:space="0"/>
            </w:tcBorders>
            <w:vAlign w:val="center"/>
          </w:tcPr>
          <w:p w14:paraId="6C4DCA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78,431,062.36</w:t>
            </w:r>
          </w:p>
        </w:tc>
      </w:tr>
      <w:tr w14:paraId="5077B5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A2C7D1">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客户贷款及垫款净增加额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710B6B2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D328F5">
            <w:pPr>
              <w:spacing w:before="0" w:after="0" w:line="240" w:lineRule="exact"/>
              <w:jc w:val="right"/>
              <w:rPr>
                <w:rFonts w:ascii="宋体" w:hAnsi="宋体" w:eastAsia="宋体" w:cs="宋体"/>
                <w:color w:val="auto"/>
                <w:sz w:val="18"/>
                <w:szCs w:val="18"/>
              </w:rPr>
            </w:pPr>
          </w:p>
        </w:tc>
      </w:tr>
      <w:tr w14:paraId="67E67C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6FB28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存放中央银行和同业款项净增加额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162EA1D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9DEAE85">
            <w:pPr>
              <w:spacing w:before="0" w:after="0" w:line="240" w:lineRule="exact"/>
              <w:jc w:val="right"/>
              <w:rPr>
                <w:rFonts w:ascii="宋体" w:hAnsi="宋体" w:eastAsia="宋体" w:cs="宋体"/>
                <w:color w:val="auto"/>
                <w:sz w:val="18"/>
                <w:szCs w:val="18"/>
              </w:rPr>
            </w:pPr>
          </w:p>
        </w:tc>
      </w:tr>
      <w:tr w14:paraId="0A7B81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FB0167">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支付原保险合同赔付款项的现金</w:t>
            </w:r>
          </w:p>
        </w:tc>
        <w:tc>
          <w:tcPr>
            <w:tcW w:w="3213" w:type="dxa"/>
            <w:tcBorders>
              <w:top w:val="single" w:color="auto" w:sz="2" w:space="0"/>
              <w:left w:val="single" w:color="auto" w:sz="2" w:space="0"/>
              <w:bottom w:val="single" w:color="auto" w:sz="2" w:space="0"/>
              <w:right w:val="single" w:color="auto" w:sz="2" w:space="0"/>
            </w:tcBorders>
            <w:vAlign w:val="center"/>
          </w:tcPr>
          <w:p w14:paraId="522F35A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DE5E70">
            <w:pPr>
              <w:spacing w:before="0" w:after="0" w:line="240" w:lineRule="exact"/>
              <w:jc w:val="right"/>
              <w:rPr>
                <w:rFonts w:ascii="宋体" w:hAnsi="宋体" w:eastAsia="宋体" w:cs="宋体"/>
                <w:color w:val="auto"/>
                <w:sz w:val="18"/>
                <w:szCs w:val="18"/>
              </w:rPr>
            </w:pPr>
          </w:p>
        </w:tc>
      </w:tr>
      <w:tr w14:paraId="0ADF79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933AEE">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拆出资金净增加额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2CF68AC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B8BC1C">
            <w:pPr>
              <w:spacing w:before="0" w:after="0" w:line="240" w:lineRule="exact"/>
              <w:jc w:val="right"/>
              <w:rPr>
                <w:rFonts w:ascii="宋体" w:hAnsi="宋体" w:eastAsia="宋体" w:cs="宋体"/>
                <w:color w:val="auto"/>
                <w:sz w:val="18"/>
                <w:szCs w:val="18"/>
              </w:rPr>
            </w:pPr>
          </w:p>
        </w:tc>
      </w:tr>
      <w:tr w14:paraId="017913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59B7A0">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14:paraId="203F788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B12F34E">
            <w:pPr>
              <w:spacing w:before="0" w:after="0" w:line="240" w:lineRule="exact"/>
              <w:jc w:val="right"/>
              <w:rPr>
                <w:rFonts w:ascii="宋体" w:hAnsi="宋体" w:eastAsia="宋体" w:cs="宋体"/>
                <w:color w:val="auto"/>
                <w:sz w:val="18"/>
                <w:szCs w:val="18"/>
              </w:rPr>
            </w:pPr>
          </w:p>
        </w:tc>
      </w:tr>
      <w:tr w14:paraId="0FBF23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810AD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支付保单红利的现金</w:t>
            </w:r>
          </w:p>
        </w:tc>
        <w:tc>
          <w:tcPr>
            <w:tcW w:w="3213" w:type="dxa"/>
            <w:tcBorders>
              <w:top w:val="single" w:color="auto" w:sz="2" w:space="0"/>
              <w:left w:val="single" w:color="auto" w:sz="2" w:space="0"/>
              <w:bottom w:val="single" w:color="auto" w:sz="2" w:space="0"/>
              <w:right w:val="single" w:color="auto" w:sz="2" w:space="0"/>
            </w:tcBorders>
            <w:vAlign w:val="center"/>
          </w:tcPr>
          <w:p w14:paraId="00F7E3E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9A2653B">
            <w:pPr>
              <w:spacing w:before="0" w:after="0" w:line="240" w:lineRule="exact"/>
              <w:jc w:val="right"/>
              <w:rPr>
                <w:rFonts w:ascii="宋体" w:hAnsi="宋体" w:eastAsia="宋体" w:cs="宋体"/>
                <w:color w:val="auto"/>
                <w:sz w:val="18"/>
                <w:szCs w:val="18"/>
              </w:rPr>
            </w:pPr>
          </w:p>
        </w:tc>
      </w:tr>
      <w:tr w14:paraId="15838C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3EDDAA">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支付给职工以及为职工支付的现金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4600C2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77,550,126.48</w:t>
            </w:r>
          </w:p>
        </w:tc>
        <w:tc>
          <w:tcPr>
            <w:tcW w:w="3213" w:type="dxa"/>
            <w:tcBorders>
              <w:top w:val="single" w:color="auto" w:sz="2" w:space="0"/>
              <w:left w:val="single" w:color="auto" w:sz="2" w:space="0"/>
              <w:bottom w:val="single" w:color="auto" w:sz="2" w:space="0"/>
              <w:right w:val="single" w:color="auto" w:sz="2" w:space="0"/>
            </w:tcBorders>
            <w:vAlign w:val="center"/>
          </w:tcPr>
          <w:p w14:paraId="6DEDD5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80,368,235.47</w:t>
            </w:r>
          </w:p>
        </w:tc>
      </w:tr>
      <w:tr w14:paraId="48432C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5D9D6C">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14:paraId="72F7FD6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30,247,591.50</w:t>
            </w:r>
          </w:p>
        </w:tc>
        <w:tc>
          <w:tcPr>
            <w:tcW w:w="3213" w:type="dxa"/>
            <w:tcBorders>
              <w:top w:val="single" w:color="auto" w:sz="2" w:space="0"/>
              <w:left w:val="single" w:color="auto" w:sz="2" w:space="0"/>
              <w:bottom w:val="single" w:color="auto" w:sz="2" w:space="0"/>
              <w:right w:val="single" w:color="auto" w:sz="2" w:space="0"/>
            </w:tcBorders>
            <w:vAlign w:val="center"/>
          </w:tcPr>
          <w:p w14:paraId="712067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27,766,208.03</w:t>
            </w:r>
          </w:p>
        </w:tc>
      </w:tr>
      <w:tr w14:paraId="26FD3A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26B67B">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5D1208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119,840,691.85</w:t>
            </w:r>
          </w:p>
        </w:tc>
        <w:tc>
          <w:tcPr>
            <w:tcW w:w="3213" w:type="dxa"/>
            <w:tcBorders>
              <w:top w:val="single" w:color="auto" w:sz="2" w:space="0"/>
              <w:left w:val="single" w:color="auto" w:sz="2" w:space="0"/>
              <w:bottom w:val="single" w:color="auto" w:sz="2" w:space="0"/>
              <w:right w:val="single" w:color="auto" w:sz="2" w:space="0"/>
            </w:tcBorders>
            <w:vAlign w:val="center"/>
          </w:tcPr>
          <w:p w14:paraId="1656C5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97,538,391.57</w:t>
            </w:r>
          </w:p>
        </w:tc>
      </w:tr>
      <w:tr w14:paraId="669E63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36F58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62F263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257,119,643.13</w:t>
            </w:r>
          </w:p>
        </w:tc>
        <w:tc>
          <w:tcPr>
            <w:tcW w:w="3213" w:type="dxa"/>
            <w:tcBorders>
              <w:top w:val="single" w:color="auto" w:sz="2" w:space="0"/>
              <w:left w:val="single" w:color="auto" w:sz="2" w:space="0"/>
              <w:bottom w:val="single" w:color="auto" w:sz="2" w:space="0"/>
              <w:right w:val="single" w:color="auto" w:sz="2" w:space="0"/>
            </w:tcBorders>
            <w:vAlign w:val="center"/>
          </w:tcPr>
          <w:p w14:paraId="356A81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284,103,897.43</w:t>
            </w:r>
          </w:p>
        </w:tc>
      </w:tr>
      <w:tr w14:paraId="236B78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AAD89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6E7313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-19,374,376.86</w:t>
            </w:r>
          </w:p>
        </w:tc>
        <w:tc>
          <w:tcPr>
            <w:tcW w:w="3213" w:type="dxa"/>
            <w:tcBorders>
              <w:top w:val="single" w:color="auto" w:sz="2" w:space="0"/>
              <w:left w:val="single" w:color="auto" w:sz="2" w:space="0"/>
              <w:bottom w:val="single" w:color="auto" w:sz="2" w:space="0"/>
              <w:right w:val="single" w:color="auto" w:sz="2" w:space="0"/>
            </w:tcBorders>
            <w:vAlign w:val="center"/>
          </w:tcPr>
          <w:p w14:paraId="6BC513D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-22,467,947.09</w:t>
            </w:r>
          </w:p>
        </w:tc>
      </w:tr>
      <w:tr w14:paraId="2A3F35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4AE33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C20E86">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140A1A">
            <w:pPr>
              <w:rPr>
                <w:color w:val="auto"/>
              </w:rPr>
            </w:pPr>
          </w:p>
        </w:tc>
      </w:tr>
      <w:tr w14:paraId="2E2364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6ECEAC">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00A94B4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FFF40F">
            <w:pPr>
              <w:spacing w:before="0" w:after="0" w:line="240" w:lineRule="exact"/>
              <w:jc w:val="right"/>
              <w:rPr>
                <w:rFonts w:ascii="宋体" w:hAnsi="宋体" w:eastAsia="宋体" w:cs="宋体"/>
                <w:color w:val="auto"/>
                <w:sz w:val="18"/>
                <w:szCs w:val="18"/>
              </w:rPr>
            </w:pPr>
          </w:p>
        </w:tc>
      </w:tr>
      <w:tr w14:paraId="3E0EDB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7DA1AD">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73B4C23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A419FF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17,640,000.00</w:t>
            </w:r>
          </w:p>
        </w:tc>
      </w:tr>
      <w:tr w14:paraId="2EA806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9F2C3D">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2A67B3A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5,595.76</w:t>
            </w:r>
          </w:p>
        </w:tc>
        <w:tc>
          <w:tcPr>
            <w:tcW w:w="3213" w:type="dxa"/>
            <w:tcBorders>
              <w:top w:val="single" w:color="auto" w:sz="2" w:space="0"/>
              <w:left w:val="single" w:color="auto" w:sz="2" w:space="0"/>
              <w:bottom w:val="single" w:color="auto" w:sz="2" w:space="0"/>
              <w:right w:val="single" w:color="auto" w:sz="2" w:space="0"/>
            </w:tcBorders>
            <w:vAlign w:val="center"/>
          </w:tcPr>
          <w:p w14:paraId="2539B5C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150.00</w:t>
            </w:r>
          </w:p>
        </w:tc>
      </w:tr>
      <w:tr w14:paraId="5A8B79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D04448">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282E73F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6DD95DF">
            <w:pPr>
              <w:spacing w:before="0" w:after="0" w:line="240" w:lineRule="exact"/>
              <w:jc w:val="right"/>
              <w:rPr>
                <w:rFonts w:ascii="宋体" w:hAnsi="宋体" w:eastAsia="宋体" w:cs="宋体"/>
                <w:color w:val="auto"/>
                <w:sz w:val="18"/>
                <w:szCs w:val="18"/>
              </w:rPr>
            </w:pPr>
          </w:p>
        </w:tc>
      </w:tr>
      <w:tr w14:paraId="4786E6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5389C3">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06233B2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B881F9E">
            <w:pPr>
              <w:spacing w:before="0" w:after="0" w:line="240" w:lineRule="exact"/>
              <w:jc w:val="right"/>
              <w:rPr>
                <w:rFonts w:ascii="宋体" w:hAnsi="宋体" w:eastAsia="宋体" w:cs="宋体"/>
                <w:color w:val="auto"/>
                <w:sz w:val="18"/>
                <w:szCs w:val="18"/>
              </w:rPr>
            </w:pPr>
          </w:p>
        </w:tc>
      </w:tr>
      <w:tr w14:paraId="60DE58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50693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73A5B28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5,595.76</w:t>
            </w:r>
          </w:p>
        </w:tc>
        <w:tc>
          <w:tcPr>
            <w:tcW w:w="3213" w:type="dxa"/>
            <w:tcBorders>
              <w:top w:val="single" w:color="auto" w:sz="2" w:space="0"/>
              <w:left w:val="single" w:color="auto" w:sz="2" w:space="0"/>
              <w:bottom w:val="single" w:color="auto" w:sz="2" w:space="0"/>
              <w:right w:val="single" w:color="auto" w:sz="2" w:space="0"/>
            </w:tcBorders>
            <w:vAlign w:val="center"/>
          </w:tcPr>
          <w:p w14:paraId="4A37B3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17,640,150.00</w:t>
            </w:r>
          </w:p>
        </w:tc>
      </w:tr>
      <w:tr w14:paraId="527038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83403E">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6A4B75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14,815,297.75</w:t>
            </w:r>
          </w:p>
        </w:tc>
        <w:tc>
          <w:tcPr>
            <w:tcW w:w="3213" w:type="dxa"/>
            <w:tcBorders>
              <w:top w:val="single" w:color="auto" w:sz="2" w:space="0"/>
              <w:left w:val="single" w:color="auto" w:sz="2" w:space="0"/>
              <w:bottom w:val="single" w:color="auto" w:sz="2" w:space="0"/>
              <w:right w:val="single" w:color="auto" w:sz="2" w:space="0"/>
            </w:tcBorders>
            <w:vAlign w:val="center"/>
          </w:tcPr>
          <w:p w14:paraId="51179E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34,871,784.29</w:t>
            </w:r>
          </w:p>
        </w:tc>
      </w:tr>
      <w:tr w14:paraId="626397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488515">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44A6848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271BD9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1,057,331.45</w:t>
            </w:r>
          </w:p>
        </w:tc>
      </w:tr>
      <w:tr w14:paraId="44A782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1E50C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质押贷款净增加额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6DCE182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00252D">
            <w:pPr>
              <w:spacing w:before="0" w:after="0" w:line="240" w:lineRule="exact"/>
              <w:jc w:val="right"/>
              <w:rPr>
                <w:rFonts w:ascii="宋体" w:hAnsi="宋体" w:eastAsia="宋体" w:cs="宋体"/>
                <w:color w:val="auto"/>
                <w:sz w:val="18"/>
                <w:szCs w:val="18"/>
              </w:rPr>
            </w:pPr>
          </w:p>
        </w:tc>
      </w:tr>
      <w:tr w14:paraId="6EC5EC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865832">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1CB28A8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8FE791">
            <w:pPr>
              <w:spacing w:before="0" w:after="0" w:line="240" w:lineRule="exact"/>
              <w:jc w:val="right"/>
              <w:rPr>
                <w:rFonts w:ascii="宋体" w:hAnsi="宋体" w:eastAsia="宋体" w:cs="宋体"/>
                <w:color w:val="auto"/>
                <w:sz w:val="18"/>
                <w:szCs w:val="18"/>
              </w:rPr>
            </w:pPr>
          </w:p>
        </w:tc>
      </w:tr>
      <w:tr w14:paraId="36AFC6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FFC474">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4A81D49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49930C">
            <w:pPr>
              <w:spacing w:before="0" w:after="0" w:line="240" w:lineRule="exact"/>
              <w:jc w:val="right"/>
              <w:rPr>
                <w:rFonts w:ascii="宋体" w:hAnsi="宋体" w:eastAsia="宋体" w:cs="宋体"/>
                <w:color w:val="auto"/>
                <w:sz w:val="18"/>
                <w:szCs w:val="18"/>
              </w:rPr>
            </w:pPr>
          </w:p>
        </w:tc>
      </w:tr>
      <w:tr w14:paraId="6B803E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AA87B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6ED50B4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14,815,297.75</w:t>
            </w:r>
          </w:p>
        </w:tc>
        <w:tc>
          <w:tcPr>
            <w:tcW w:w="3213" w:type="dxa"/>
            <w:tcBorders>
              <w:top w:val="single" w:color="auto" w:sz="2" w:space="0"/>
              <w:left w:val="single" w:color="auto" w:sz="2" w:space="0"/>
              <w:bottom w:val="single" w:color="auto" w:sz="2" w:space="0"/>
              <w:right w:val="single" w:color="auto" w:sz="2" w:space="0"/>
            </w:tcBorders>
            <w:vAlign w:val="center"/>
          </w:tcPr>
          <w:p w14:paraId="375349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35,929,115.74</w:t>
            </w:r>
          </w:p>
        </w:tc>
      </w:tr>
      <w:tr w14:paraId="6E5276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BC6DD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3B93A46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-14,809,701.99</w:t>
            </w:r>
          </w:p>
        </w:tc>
        <w:tc>
          <w:tcPr>
            <w:tcW w:w="3213" w:type="dxa"/>
            <w:tcBorders>
              <w:top w:val="single" w:color="auto" w:sz="2" w:space="0"/>
              <w:left w:val="single" w:color="auto" w:sz="2" w:space="0"/>
              <w:bottom w:val="single" w:color="auto" w:sz="2" w:space="0"/>
              <w:right w:val="single" w:color="auto" w:sz="2" w:space="0"/>
            </w:tcBorders>
            <w:vAlign w:val="center"/>
          </w:tcPr>
          <w:p w14:paraId="5B21FF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-18,288,965.74</w:t>
            </w:r>
          </w:p>
        </w:tc>
      </w:tr>
      <w:tr w14:paraId="44312D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38961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BF5E4B">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DF828F">
            <w:pPr>
              <w:rPr>
                <w:color w:val="auto"/>
              </w:rPr>
            </w:pPr>
          </w:p>
        </w:tc>
      </w:tr>
      <w:tr w14:paraId="3A9630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6656F4">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55367BA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691C16E">
            <w:pPr>
              <w:spacing w:before="0" w:after="0" w:line="240" w:lineRule="exact"/>
              <w:jc w:val="right"/>
              <w:rPr>
                <w:rFonts w:ascii="宋体" w:hAnsi="宋体" w:eastAsia="宋体" w:cs="宋体"/>
                <w:color w:val="auto"/>
                <w:sz w:val="18"/>
                <w:szCs w:val="18"/>
              </w:rPr>
            </w:pPr>
          </w:p>
        </w:tc>
      </w:tr>
      <w:tr w14:paraId="1ECA39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46690D">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其中：子公司吸收少数股东投资收到的现金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7C67541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C10370">
            <w:pPr>
              <w:spacing w:before="0" w:after="0" w:line="240" w:lineRule="exact"/>
              <w:jc w:val="right"/>
              <w:rPr>
                <w:rFonts w:ascii="宋体" w:hAnsi="宋体" w:eastAsia="宋体" w:cs="宋体"/>
                <w:color w:val="auto"/>
                <w:sz w:val="18"/>
                <w:szCs w:val="18"/>
              </w:rPr>
            </w:pPr>
          </w:p>
        </w:tc>
      </w:tr>
      <w:tr w14:paraId="12264E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33FCCD">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24EBBB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103,000,000.00</w:t>
            </w:r>
          </w:p>
        </w:tc>
        <w:tc>
          <w:tcPr>
            <w:tcW w:w="3213" w:type="dxa"/>
            <w:tcBorders>
              <w:top w:val="single" w:color="auto" w:sz="2" w:space="0"/>
              <w:left w:val="single" w:color="auto" w:sz="2" w:space="0"/>
              <w:bottom w:val="single" w:color="auto" w:sz="2" w:space="0"/>
              <w:right w:val="single" w:color="auto" w:sz="2" w:space="0"/>
            </w:tcBorders>
            <w:vAlign w:val="center"/>
          </w:tcPr>
          <w:p w14:paraId="6B18E48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185,130,000.00</w:t>
            </w:r>
          </w:p>
        </w:tc>
      </w:tr>
      <w:tr w14:paraId="6BBF89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EF99A3">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6D170EE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42B0F19">
            <w:pPr>
              <w:spacing w:before="0" w:after="0" w:line="240" w:lineRule="exact"/>
              <w:jc w:val="right"/>
              <w:rPr>
                <w:rFonts w:ascii="宋体" w:hAnsi="宋体" w:eastAsia="宋体" w:cs="宋体"/>
                <w:color w:val="auto"/>
                <w:sz w:val="18"/>
                <w:szCs w:val="18"/>
              </w:rPr>
            </w:pPr>
          </w:p>
        </w:tc>
      </w:tr>
      <w:tr w14:paraId="17723A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73795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482DFF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103,000,000.00</w:t>
            </w:r>
          </w:p>
        </w:tc>
        <w:tc>
          <w:tcPr>
            <w:tcW w:w="3213" w:type="dxa"/>
            <w:tcBorders>
              <w:top w:val="single" w:color="auto" w:sz="2" w:space="0"/>
              <w:left w:val="single" w:color="auto" w:sz="2" w:space="0"/>
              <w:bottom w:val="single" w:color="auto" w:sz="2" w:space="0"/>
              <w:right w:val="single" w:color="auto" w:sz="2" w:space="0"/>
            </w:tcBorders>
            <w:vAlign w:val="center"/>
          </w:tcPr>
          <w:p w14:paraId="7BE6ED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185,130,000.00</w:t>
            </w:r>
          </w:p>
        </w:tc>
      </w:tr>
      <w:tr w14:paraId="3A71D1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642842">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093AC2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124,259,500.00</w:t>
            </w:r>
          </w:p>
        </w:tc>
        <w:tc>
          <w:tcPr>
            <w:tcW w:w="3213" w:type="dxa"/>
            <w:tcBorders>
              <w:top w:val="single" w:color="auto" w:sz="2" w:space="0"/>
              <w:left w:val="single" w:color="auto" w:sz="2" w:space="0"/>
              <w:bottom w:val="single" w:color="auto" w:sz="2" w:space="0"/>
              <w:right w:val="single" w:color="auto" w:sz="2" w:space="0"/>
            </w:tcBorders>
            <w:vAlign w:val="center"/>
          </w:tcPr>
          <w:p w14:paraId="651F69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207,274,669.57</w:t>
            </w:r>
          </w:p>
        </w:tc>
      </w:tr>
      <w:tr w14:paraId="5BF710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0D871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600B0C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7,818,528.42</w:t>
            </w:r>
          </w:p>
        </w:tc>
        <w:tc>
          <w:tcPr>
            <w:tcW w:w="3213" w:type="dxa"/>
            <w:tcBorders>
              <w:top w:val="single" w:color="auto" w:sz="2" w:space="0"/>
              <w:left w:val="single" w:color="auto" w:sz="2" w:space="0"/>
              <w:bottom w:val="single" w:color="auto" w:sz="2" w:space="0"/>
              <w:right w:val="single" w:color="auto" w:sz="2" w:space="0"/>
            </w:tcBorders>
            <w:vAlign w:val="center"/>
          </w:tcPr>
          <w:p w14:paraId="12BAEB1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9,078,848.76</w:t>
            </w:r>
          </w:p>
        </w:tc>
      </w:tr>
      <w:tr w14:paraId="4D6413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378F43">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其中：子公司支付给少数股东的股利、利润</w:t>
            </w:r>
          </w:p>
        </w:tc>
        <w:tc>
          <w:tcPr>
            <w:tcW w:w="3213" w:type="dxa"/>
            <w:tcBorders>
              <w:top w:val="single" w:color="auto" w:sz="2" w:space="0"/>
              <w:left w:val="single" w:color="auto" w:sz="2" w:space="0"/>
              <w:bottom w:val="single" w:color="auto" w:sz="2" w:space="0"/>
              <w:right w:val="single" w:color="auto" w:sz="2" w:space="0"/>
            </w:tcBorders>
            <w:vAlign w:val="center"/>
          </w:tcPr>
          <w:p w14:paraId="5084C14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35358F3">
            <w:pPr>
              <w:spacing w:before="0" w:after="0" w:line="240" w:lineRule="exact"/>
              <w:jc w:val="right"/>
              <w:rPr>
                <w:rFonts w:ascii="宋体" w:hAnsi="宋体" w:eastAsia="宋体" w:cs="宋体"/>
                <w:color w:val="auto"/>
                <w:sz w:val="18"/>
                <w:szCs w:val="18"/>
              </w:rPr>
            </w:pPr>
          </w:p>
        </w:tc>
      </w:tr>
      <w:tr w14:paraId="75A624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B003BF">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3859553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800,000.00</w:t>
            </w:r>
          </w:p>
        </w:tc>
        <w:tc>
          <w:tcPr>
            <w:tcW w:w="3213" w:type="dxa"/>
            <w:tcBorders>
              <w:top w:val="single" w:color="auto" w:sz="2" w:space="0"/>
              <w:left w:val="single" w:color="auto" w:sz="2" w:space="0"/>
              <w:bottom w:val="single" w:color="auto" w:sz="2" w:space="0"/>
              <w:right w:val="single" w:color="auto" w:sz="2" w:space="0"/>
            </w:tcBorders>
            <w:vAlign w:val="center"/>
          </w:tcPr>
          <w:p w14:paraId="70958AEC">
            <w:pPr>
              <w:spacing w:before="0" w:after="0" w:line="240" w:lineRule="exact"/>
              <w:jc w:val="right"/>
              <w:rPr>
                <w:rFonts w:ascii="宋体" w:hAnsi="宋体" w:eastAsia="宋体" w:cs="宋体"/>
                <w:color w:val="auto"/>
                <w:sz w:val="18"/>
                <w:szCs w:val="18"/>
              </w:rPr>
            </w:pPr>
          </w:p>
        </w:tc>
      </w:tr>
      <w:tr w14:paraId="267C19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3A522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4D7A20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132,878,028.42</w:t>
            </w:r>
          </w:p>
        </w:tc>
        <w:tc>
          <w:tcPr>
            <w:tcW w:w="3213" w:type="dxa"/>
            <w:tcBorders>
              <w:top w:val="single" w:color="auto" w:sz="2" w:space="0"/>
              <w:left w:val="single" w:color="auto" w:sz="2" w:space="0"/>
              <w:bottom w:val="single" w:color="auto" w:sz="2" w:space="0"/>
              <w:right w:val="single" w:color="auto" w:sz="2" w:space="0"/>
            </w:tcBorders>
            <w:vAlign w:val="center"/>
          </w:tcPr>
          <w:p w14:paraId="424CE86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216,353,518.33</w:t>
            </w:r>
          </w:p>
        </w:tc>
      </w:tr>
      <w:tr w14:paraId="4490A2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9F989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6A4558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-29,878,028.42</w:t>
            </w:r>
          </w:p>
        </w:tc>
        <w:tc>
          <w:tcPr>
            <w:tcW w:w="3213" w:type="dxa"/>
            <w:tcBorders>
              <w:top w:val="single" w:color="auto" w:sz="2" w:space="0"/>
              <w:left w:val="single" w:color="auto" w:sz="2" w:space="0"/>
              <w:bottom w:val="single" w:color="auto" w:sz="2" w:space="0"/>
              <w:right w:val="single" w:color="auto" w:sz="2" w:space="0"/>
            </w:tcBorders>
            <w:vAlign w:val="center"/>
          </w:tcPr>
          <w:p w14:paraId="12F21FC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-31,223,518.33</w:t>
            </w:r>
          </w:p>
        </w:tc>
      </w:tr>
      <w:tr w14:paraId="74E93B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9F376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14:paraId="7F58A27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01CE18">
            <w:pPr>
              <w:spacing w:before="0" w:after="0" w:line="240" w:lineRule="exact"/>
              <w:jc w:val="right"/>
              <w:rPr>
                <w:rFonts w:ascii="宋体" w:hAnsi="宋体" w:eastAsia="宋体" w:cs="宋体"/>
                <w:color w:val="auto"/>
                <w:sz w:val="18"/>
                <w:szCs w:val="18"/>
              </w:rPr>
            </w:pPr>
          </w:p>
        </w:tc>
      </w:tr>
      <w:tr w14:paraId="0F6270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1B03E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7ECFF7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-64,062,107.27</w:t>
            </w:r>
          </w:p>
        </w:tc>
        <w:tc>
          <w:tcPr>
            <w:tcW w:w="3213" w:type="dxa"/>
            <w:tcBorders>
              <w:top w:val="single" w:color="auto" w:sz="2" w:space="0"/>
              <w:left w:val="single" w:color="auto" w:sz="2" w:space="0"/>
              <w:bottom w:val="single" w:color="auto" w:sz="2" w:space="0"/>
              <w:right w:val="single" w:color="auto" w:sz="2" w:space="0"/>
            </w:tcBorders>
            <w:vAlign w:val="center"/>
          </w:tcPr>
          <w:p w14:paraId="106CAE9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-71,980,431.16</w:t>
            </w:r>
          </w:p>
        </w:tc>
      </w:tr>
      <w:tr w14:paraId="1A9067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8E47EB">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4B515DD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142,958,457.81</w:t>
            </w:r>
          </w:p>
        </w:tc>
        <w:tc>
          <w:tcPr>
            <w:tcW w:w="3213" w:type="dxa"/>
            <w:tcBorders>
              <w:top w:val="single" w:color="auto" w:sz="2" w:space="0"/>
              <w:left w:val="single" w:color="auto" w:sz="2" w:space="0"/>
              <w:bottom w:val="single" w:color="auto" w:sz="2" w:space="0"/>
              <w:right w:val="single" w:color="auto" w:sz="2" w:space="0"/>
            </w:tcBorders>
            <w:vAlign w:val="center"/>
          </w:tcPr>
          <w:p w14:paraId="6712F3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202,519,959.54</w:t>
            </w:r>
          </w:p>
        </w:tc>
      </w:tr>
      <w:tr w14:paraId="0A1797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90068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25A1305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78,896,350.54</w:t>
            </w:r>
          </w:p>
        </w:tc>
        <w:tc>
          <w:tcPr>
            <w:tcW w:w="3213" w:type="dxa"/>
            <w:tcBorders>
              <w:top w:val="single" w:color="auto" w:sz="2" w:space="0"/>
              <w:left w:val="single" w:color="auto" w:sz="2" w:space="0"/>
              <w:bottom w:val="single" w:color="auto" w:sz="2" w:space="0"/>
              <w:right w:val="single" w:color="auto" w:sz="2" w:space="0"/>
            </w:tcBorders>
            <w:vAlign w:val="center"/>
          </w:tcPr>
          <w:p w14:paraId="3EB842D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130,539,528.38</w:t>
            </w:r>
          </w:p>
        </w:tc>
      </w:tr>
    </w:tbl>
    <w:p w14:paraId="2E14C3BB">
      <w:pPr>
        <w:keepNext/>
        <w:keepLines/>
        <w:spacing w:before="300" w:after="300" w:line="280" w:lineRule="exact"/>
        <w:jc w:val="left"/>
        <w:outlineLvl w:val="2"/>
        <w:rPr>
          <w:rFonts w:ascii="宋体" w:hAnsi="宋体" w:eastAsia="宋体" w:cs="宋体"/>
          <w:b/>
          <w:bCs/>
          <w:color w:val="auto"/>
          <w:sz w:val="21"/>
          <w:szCs w:val="21"/>
        </w:rPr>
      </w:pPr>
      <w:bookmarkStart w:id="8" w:name="_Toc988984"/>
      <w:r>
        <w:rPr>
          <w:rFonts w:ascii="宋体" w:hAnsi="宋体" w:eastAsia="宋体" w:cs="宋体"/>
          <w:b/>
          <w:bCs/>
          <w:color w:val="auto"/>
          <w:sz w:val="21"/>
          <w:szCs w:val="21"/>
        </w:rPr>
        <w:t>6、母公司现金流量表</w:t>
      </w:r>
      <w:bookmarkEnd w:id="8"/>
    </w:p>
    <w:p w14:paraId="0FB97E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21E38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ED835D">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0742D5">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2025年半年度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E4EEE8">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2024年半年度</w:t>
            </w:r>
          </w:p>
        </w:tc>
      </w:tr>
      <w:tr w14:paraId="45E8F5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7CF99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5E84B4">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26967F">
            <w:pPr>
              <w:rPr>
                <w:color w:val="auto"/>
              </w:rPr>
            </w:pPr>
          </w:p>
        </w:tc>
      </w:tr>
      <w:tr w14:paraId="5211D6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2A994E">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714625A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96,219,682.76</w:t>
            </w:r>
          </w:p>
        </w:tc>
        <w:tc>
          <w:tcPr>
            <w:tcW w:w="3213" w:type="dxa"/>
            <w:tcBorders>
              <w:top w:val="single" w:color="auto" w:sz="2" w:space="0"/>
              <w:left w:val="single" w:color="auto" w:sz="2" w:space="0"/>
              <w:bottom w:val="single" w:color="auto" w:sz="2" w:space="0"/>
              <w:right w:val="single" w:color="auto" w:sz="2" w:space="0"/>
            </w:tcBorders>
            <w:vAlign w:val="center"/>
          </w:tcPr>
          <w:p w14:paraId="57AD8B3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102,814,541.82</w:t>
            </w:r>
          </w:p>
        </w:tc>
      </w:tr>
      <w:tr w14:paraId="02401F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763DCB">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14:paraId="6C889B7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2E50EAA">
            <w:pPr>
              <w:spacing w:before="0" w:after="0" w:line="240" w:lineRule="exact"/>
              <w:jc w:val="right"/>
              <w:rPr>
                <w:rFonts w:ascii="宋体" w:hAnsi="宋体" w:eastAsia="宋体" w:cs="宋体"/>
                <w:color w:val="auto"/>
                <w:sz w:val="18"/>
                <w:szCs w:val="18"/>
              </w:rPr>
            </w:pPr>
          </w:p>
        </w:tc>
      </w:tr>
      <w:tr w14:paraId="3D266F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5FD2D2">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2390B8B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3,279,681.62</w:t>
            </w:r>
          </w:p>
        </w:tc>
        <w:tc>
          <w:tcPr>
            <w:tcW w:w="3213" w:type="dxa"/>
            <w:tcBorders>
              <w:top w:val="single" w:color="auto" w:sz="2" w:space="0"/>
              <w:left w:val="single" w:color="auto" w:sz="2" w:space="0"/>
              <w:bottom w:val="single" w:color="auto" w:sz="2" w:space="0"/>
              <w:right w:val="single" w:color="auto" w:sz="2" w:space="0"/>
            </w:tcBorders>
            <w:vAlign w:val="center"/>
          </w:tcPr>
          <w:p w14:paraId="512BC1A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4,132,557.63</w:t>
            </w:r>
          </w:p>
        </w:tc>
      </w:tr>
      <w:tr w14:paraId="1BB279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D6AE3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23BA959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99,499,364.38</w:t>
            </w:r>
          </w:p>
        </w:tc>
        <w:tc>
          <w:tcPr>
            <w:tcW w:w="3213" w:type="dxa"/>
            <w:tcBorders>
              <w:top w:val="single" w:color="auto" w:sz="2" w:space="0"/>
              <w:left w:val="single" w:color="auto" w:sz="2" w:space="0"/>
              <w:bottom w:val="single" w:color="auto" w:sz="2" w:space="0"/>
              <w:right w:val="single" w:color="auto" w:sz="2" w:space="0"/>
            </w:tcBorders>
            <w:vAlign w:val="center"/>
          </w:tcPr>
          <w:p w14:paraId="38C14A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106,947,099.45</w:t>
            </w:r>
          </w:p>
        </w:tc>
      </w:tr>
      <w:tr w14:paraId="277B86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A8D5D5">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0C3D909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11,520,890.58</w:t>
            </w:r>
          </w:p>
        </w:tc>
        <w:tc>
          <w:tcPr>
            <w:tcW w:w="3213" w:type="dxa"/>
            <w:tcBorders>
              <w:top w:val="single" w:color="auto" w:sz="2" w:space="0"/>
              <w:left w:val="single" w:color="auto" w:sz="2" w:space="0"/>
              <w:bottom w:val="single" w:color="auto" w:sz="2" w:space="0"/>
              <w:right w:val="single" w:color="auto" w:sz="2" w:space="0"/>
            </w:tcBorders>
            <w:vAlign w:val="center"/>
          </w:tcPr>
          <w:p w14:paraId="481806B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54,551,538.89</w:t>
            </w:r>
          </w:p>
        </w:tc>
      </w:tr>
      <w:tr w14:paraId="64E178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DE3632">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支付给职工以及为职工支付的现金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2A6D42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28,375,666.11</w:t>
            </w:r>
          </w:p>
        </w:tc>
        <w:tc>
          <w:tcPr>
            <w:tcW w:w="3213" w:type="dxa"/>
            <w:tcBorders>
              <w:top w:val="single" w:color="auto" w:sz="2" w:space="0"/>
              <w:left w:val="single" w:color="auto" w:sz="2" w:space="0"/>
              <w:bottom w:val="single" w:color="auto" w:sz="2" w:space="0"/>
              <w:right w:val="single" w:color="auto" w:sz="2" w:space="0"/>
            </w:tcBorders>
            <w:vAlign w:val="center"/>
          </w:tcPr>
          <w:p w14:paraId="0C18C0B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33,206,366.21</w:t>
            </w:r>
          </w:p>
        </w:tc>
      </w:tr>
      <w:tr w14:paraId="0F1553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CED585">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14:paraId="01D1C66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8,222,791.29</w:t>
            </w:r>
          </w:p>
        </w:tc>
        <w:tc>
          <w:tcPr>
            <w:tcW w:w="3213" w:type="dxa"/>
            <w:tcBorders>
              <w:top w:val="single" w:color="auto" w:sz="2" w:space="0"/>
              <w:left w:val="single" w:color="auto" w:sz="2" w:space="0"/>
              <w:bottom w:val="single" w:color="auto" w:sz="2" w:space="0"/>
              <w:right w:val="single" w:color="auto" w:sz="2" w:space="0"/>
            </w:tcBorders>
            <w:vAlign w:val="center"/>
          </w:tcPr>
          <w:p w14:paraId="7F21695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7,797,743.91</w:t>
            </w:r>
          </w:p>
        </w:tc>
      </w:tr>
      <w:tr w14:paraId="481604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7D8CE8">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3FDDF4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34,323,747.72</w:t>
            </w:r>
          </w:p>
        </w:tc>
        <w:tc>
          <w:tcPr>
            <w:tcW w:w="3213" w:type="dxa"/>
            <w:tcBorders>
              <w:top w:val="single" w:color="auto" w:sz="2" w:space="0"/>
              <w:left w:val="single" w:color="auto" w:sz="2" w:space="0"/>
              <w:bottom w:val="single" w:color="auto" w:sz="2" w:space="0"/>
              <w:right w:val="single" w:color="auto" w:sz="2" w:space="0"/>
            </w:tcBorders>
            <w:vAlign w:val="center"/>
          </w:tcPr>
          <w:p w14:paraId="380CEA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52,044,094.24</w:t>
            </w:r>
          </w:p>
        </w:tc>
      </w:tr>
      <w:tr w14:paraId="7489EC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ED053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7F08E9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82,443,095.70</w:t>
            </w:r>
          </w:p>
        </w:tc>
        <w:tc>
          <w:tcPr>
            <w:tcW w:w="3213" w:type="dxa"/>
            <w:tcBorders>
              <w:top w:val="single" w:color="auto" w:sz="2" w:space="0"/>
              <w:left w:val="single" w:color="auto" w:sz="2" w:space="0"/>
              <w:bottom w:val="single" w:color="auto" w:sz="2" w:space="0"/>
              <w:right w:val="single" w:color="auto" w:sz="2" w:space="0"/>
            </w:tcBorders>
            <w:vAlign w:val="center"/>
          </w:tcPr>
          <w:p w14:paraId="43B84A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147,599,743.25</w:t>
            </w:r>
          </w:p>
        </w:tc>
      </w:tr>
      <w:tr w14:paraId="778F26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4B662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468D59B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17,056,268.68</w:t>
            </w:r>
          </w:p>
        </w:tc>
        <w:tc>
          <w:tcPr>
            <w:tcW w:w="3213" w:type="dxa"/>
            <w:tcBorders>
              <w:top w:val="single" w:color="auto" w:sz="2" w:space="0"/>
              <w:left w:val="single" w:color="auto" w:sz="2" w:space="0"/>
              <w:bottom w:val="single" w:color="auto" w:sz="2" w:space="0"/>
              <w:right w:val="single" w:color="auto" w:sz="2" w:space="0"/>
            </w:tcBorders>
            <w:vAlign w:val="center"/>
          </w:tcPr>
          <w:p w14:paraId="723851D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-40,652,643.80</w:t>
            </w:r>
          </w:p>
        </w:tc>
      </w:tr>
      <w:tr w14:paraId="6A41F7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2FAD1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22886C">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D0E72B">
            <w:pPr>
              <w:rPr>
                <w:color w:val="auto"/>
              </w:rPr>
            </w:pPr>
          </w:p>
        </w:tc>
      </w:tr>
      <w:tr w14:paraId="6D38FC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5D148C">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17ADB76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1B5D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34,000,000.00</w:t>
            </w:r>
          </w:p>
        </w:tc>
      </w:tr>
      <w:tr w14:paraId="171504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00ED75">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77B97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10,000,000.00</w:t>
            </w:r>
          </w:p>
        </w:tc>
        <w:tc>
          <w:tcPr>
            <w:tcW w:w="3213" w:type="dxa"/>
            <w:tcBorders>
              <w:top w:val="single" w:color="auto" w:sz="2" w:space="0"/>
              <w:left w:val="single" w:color="auto" w:sz="2" w:space="0"/>
              <w:bottom w:val="single" w:color="auto" w:sz="2" w:space="0"/>
              <w:right w:val="single" w:color="auto" w:sz="2" w:space="0"/>
            </w:tcBorders>
            <w:vAlign w:val="center"/>
          </w:tcPr>
          <w:p w14:paraId="1B2E78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37,640,000.00</w:t>
            </w:r>
          </w:p>
        </w:tc>
      </w:tr>
      <w:tr w14:paraId="02B7AD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C27E7D">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502C7C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5,595.76</w:t>
            </w:r>
          </w:p>
        </w:tc>
        <w:tc>
          <w:tcPr>
            <w:tcW w:w="3213" w:type="dxa"/>
            <w:tcBorders>
              <w:top w:val="single" w:color="auto" w:sz="2" w:space="0"/>
              <w:left w:val="single" w:color="auto" w:sz="2" w:space="0"/>
              <w:bottom w:val="single" w:color="auto" w:sz="2" w:space="0"/>
              <w:right w:val="single" w:color="auto" w:sz="2" w:space="0"/>
            </w:tcBorders>
            <w:vAlign w:val="center"/>
          </w:tcPr>
          <w:p w14:paraId="53DDB54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150.00</w:t>
            </w:r>
          </w:p>
        </w:tc>
      </w:tr>
      <w:tr w14:paraId="191C31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3ED841">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530F40E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5040B26">
            <w:pPr>
              <w:spacing w:before="0" w:after="0" w:line="240" w:lineRule="exact"/>
              <w:jc w:val="right"/>
              <w:rPr>
                <w:rFonts w:ascii="宋体" w:hAnsi="宋体" w:eastAsia="宋体" w:cs="宋体"/>
                <w:color w:val="auto"/>
                <w:sz w:val="18"/>
                <w:szCs w:val="18"/>
              </w:rPr>
            </w:pPr>
          </w:p>
        </w:tc>
      </w:tr>
      <w:tr w14:paraId="0205D4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A40C0D">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6A7FE9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18,581,350.01</w:t>
            </w:r>
          </w:p>
        </w:tc>
        <w:tc>
          <w:tcPr>
            <w:tcW w:w="3213" w:type="dxa"/>
            <w:tcBorders>
              <w:top w:val="single" w:color="auto" w:sz="2" w:space="0"/>
              <w:left w:val="single" w:color="auto" w:sz="2" w:space="0"/>
              <w:bottom w:val="single" w:color="auto" w:sz="2" w:space="0"/>
              <w:right w:val="single" w:color="auto" w:sz="2" w:space="0"/>
            </w:tcBorders>
            <w:vAlign w:val="center"/>
          </w:tcPr>
          <w:p w14:paraId="06758F4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17,181,536.08</w:t>
            </w:r>
          </w:p>
        </w:tc>
      </w:tr>
      <w:tr w14:paraId="71AE30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F5AEA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7AF23B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28,586,945.77</w:t>
            </w:r>
          </w:p>
        </w:tc>
        <w:tc>
          <w:tcPr>
            <w:tcW w:w="3213" w:type="dxa"/>
            <w:tcBorders>
              <w:top w:val="single" w:color="auto" w:sz="2" w:space="0"/>
              <w:left w:val="single" w:color="auto" w:sz="2" w:space="0"/>
              <w:bottom w:val="single" w:color="auto" w:sz="2" w:space="0"/>
              <w:right w:val="single" w:color="auto" w:sz="2" w:space="0"/>
            </w:tcBorders>
            <w:vAlign w:val="center"/>
          </w:tcPr>
          <w:p w14:paraId="7CBF33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88,821,686.08</w:t>
            </w:r>
          </w:p>
        </w:tc>
      </w:tr>
      <w:tr w14:paraId="76369A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D191FB">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1D3889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5,240,229.25</w:t>
            </w:r>
          </w:p>
        </w:tc>
        <w:tc>
          <w:tcPr>
            <w:tcW w:w="3213" w:type="dxa"/>
            <w:tcBorders>
              <w:top w:val="single" w:color="auto" w:sz="2" w:space="0"/>
              <w:left w:val="single" w:color="auto" w:sz="2" w:space="0"/>
              <w:bottom w:val="single" w:color="auto" w:sz="2" w:space="0"/>
              <w:right w:val="single" w:color="auto" w:sz="2" w:space="0"/>
            </w:tcBorders>
            <w:vAlign w:val="center"/>
          </w:tcPr>
          <w:p w14:paraId="558997B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16,373,956.53</w:t>
            </w:r>
          </w:p>
        </w:tc>
      </w:tr>
      <w:tr w14:paraId="1F1756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60CF1D">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2B7F0E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26,550,000.00</w:t>
            </w:r>
          </w:p>
        </w:tc>
        <w:tc>
          <w:tcPr>
            <w:tcW w:w="3213" w:type="dxa"/>
            <w:tcBorders>
              <w:top w:val="single" w:color="auto" w:sz="2" w:space="0"/>
              <w:left w:val="single" w:color="auto" w:sz="2" w:space="0"/>
              <w:bottom w:val="single" w:color="auto" w:sz="2" w:space="0"/>
              <w:right w:val="single" w:color="auto" w:sz="2" w:space="0"/>
            </w:tcBorders>
            <w:vAlign w:val="center"/>
          </w:tcPr>
          <w:p w14:paraId="1132C2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1,057,331.45</w:t>
            </w:r>
          </w:p>
        </w:tc>
      </w:tr>
      <w:tr w14:paraId="17DFB8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0452DA">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41CB019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30D1BB4">
            <w:pPr>
              <w:spacing w:before="0" w:after="0" w:line="240" w:lineRule="exact"/>
              <w:jc w:val="right"/>
              <w:rPr>
                <w:rFonts w:ascii="宋体" w:hAnsi="宋体" w:eastAsia="宋体" w:cs="宋体"/>
                <w:color w:val="auto"/>
                <w:sz w:val="18"/>
                <w:szCs w:val="18"/>
              </w:rPr>
            </w:pPr>
          </w:p>
        </w:tc>
      </w:tr>
      <w:tr w14:paraId="7E72CE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0EA9BC">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6BD2A7E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19,000,000.00</w:t>
            </w:r>
          </w:p>
        </w:tc>
        <w:tc>
          <w:tcPr>
            <w:tcW w:w="3213" w:type="dxa"/>
            <w:tcBorders>
              <w:top w:val="single" w:color="auto" w:sz="2" w:space="0"/>
              <w:left w:val="single" w:color="auto" w:sz="2" w:space="0"/>
              <w:bottom w:val="single" w:color="auto" w:sz="2" w:space="0"/>
              <w:right w:val="single" w:color="auto" w:sz="2" w:space="0"/>
            </w:tcBorders>
            <w:vAlign w:val="center"/>
          </w:tcPr>
          <w:p w14:paraId="5AB162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21,500,000.00</w:t>
            </w:r>
          </w:p>
        </w:tc>
      </w:tr>
      <w:tr w14:paraId="295B82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C533B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2E07D5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50,790,229.25</w:t>
            </w:r>
          </w:p>
        </w:tc>
        <w:tc>
          <w:tcPr>
            <w:tcW w:w="3213" w:type="dxa"/>
            <w:tcBorders>
              <w:top w:val="single" w:color="auto" w:sz="2" w:space="0"/>
              <w:left w:val="single" w:color="auto" w:sz="2" w:space="0"/>
              <w:bottom w:val="single" w:color="auto" w:sz="2" w:space="0"/>
              <w:right w:val="single" w:color="auto" w:sz="2" w:space="0"/>
            </w:tcBorders>
            <w:vAlign w:val="center"/>
          </w:tcPr>
          <w:p w14:paraId="4467E57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38,931,287.98</w:t>
            </w:r>
          </w:p>
        </w:tc>
      </w:tr>
      <w:tr w14:paraId="7693EA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A86F6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3E1AC4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-22,203,283.48</w:t>
            </w:r>
          </w:p>
        </w:tc>
        <w:tc>
          <w:tcPr>
            <w:tcW w:w="3213" w:type="dxa"/>
            <w:tcBorders>
              <w:top w:val="single" w:color="auto" w:sz="2" w:space="0"/>
              <w:left w:val="single" w:color="auto" w:sz="2" w:space="0"/>
              <w:bottom w:val="single" w:color="auto" w:sz="2" w:space="0"/>
              <w:right w:val="single" w:color="auto" w:sz="2" w:space="0"/>
            </w:tcBorders>
            <w:vAlign w:val="center"/>
          </w:tcPr>
          <w:p w14:paraId="4F3C130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49,890,398.10</w:t>
            </w:r>
          </w:p>
        </w:tc>
      </w:tr>
      <w:tr w14:paraId="3F668C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7B009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02AA30">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6529AE">
            <w:pPr>
              <w:rPr>
                <w:color w:val="auto"/>
              </w:rPr>
            </w:pPr>
          </w:p>
        </w:tc>
      </w:tr>
      <w:tr w14:paraId="6BF7CB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D7FE63">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6618C31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0724DF">
            <w:pPr>
              <w:spacing w:before="0" w:after="0" w:line="240" w:lineRule="exact"/>
              <w:jc w:val="right"/>
              <w:rPr>
                <w:rFonts w:ascii="宋体" w:hAnsi="宋体" w:eastAsia="宋体" w:cs="宋体"/>
                <w:color w:val="auto"/>
                <w:sz w:val="18"/>
                <w:szCs w:val="18"/>
              </w:rPr>
            </w:pPr>
          </w:p>
        </w:tc>
      </w:tr>
      <w:tr w14:paraId="6DF8E3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2BFA7D">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527999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53,000,000.00</w:t>
            </w:r>
          </w:p>
        </w:tc>
        <w:tc>
          <w:tcPr>
            <w:tcW w:w="3213" w:type="dxa"/>
            <w:tcBorders>
              <w:top w:val="single" w:color="auto" w:sz="2" w:space="0"/>
              <w:left w:val="single" w:color="auto" w:sz="2" w:space="0"/>
              <w:bottom w:val="single" w:color="auto" w:sz="2" w:space="0"/>
              <w:right w:val="single" w:color="auto" w:sz="2" w:space="0"/>
            </w:tcBorders>
            <w:vAlign w:val="center"/>
          </w:tcPr>
          <w:p w14:paraId="7354E70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150,130,000.00</w:t>
            </w:r>
          </w:p>
        </w:tc>
      </w:tr>
      <w:tr w14:paraId="24C8D3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0C4FFA">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BE1216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A5DDD9">
            <w:pPr>
              <w:spacing w:before="0" w:after="0" w:line="240" w:lineRule="exact"/>
              <w:jc w:val="right"/>
              <w:rPr>
                <w:rFonts w:ascii="宋体" w:hAnsi="宋体" w:eastAsia="宋体" w:cs="宋体"/>
                <w:color w:val="auto"/>
                <w:sz w:val="18"/>
                <w:szCs w:val="18"/>
              </w:rPr>
            </w:pPr>
          </w:p>
        </w:tc>
      </w:tr>
      <w:tr w14:paraId="147D87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D4785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7D8DDE0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53,000,000.00</w:t>
            </w:r>
          </w:p>
        </w:tc>
        <w:tc>
          <w:tcPr>
            <w:tcW w:w="3213" w:type="dxa"/>
            <w:tcBorders>
              <w:top w:val="single" w:color="auto" w:sz="2" w:space="0"/>
              <w:left w:val="single" w:color="auto" w:sz="2" w:space="0"/>
              <w:bottom w:val="single" w:color="auto" w:sz="2" w:space="0"/>
              <w:right w:val="single" w:color="auto" w:sz="2" w:space="0"/>
            </w:tcBorders>
            <w:vAlign w:val="center"/>
          </w:tcPr>
          <w:p w14:paraId="184A10C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150,130,000.00</w:t>
            </w:r>
          </w:p>
        </w:tc>
      </w:tr>
      <w:tr w14:paraId="0C6591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7E3F24">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22BBDC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102,259,500.00</w:t>
            </w:r>
          </w:p>
        </w:tc>
        <w:tc>
          <w:tcPr>
            <w:tcW w:w="3213" w:type="dxa"/>
            <w:tcBorders>
              <w:top w:val="single" w:color="auto" w:sz="2" w:space="0"/>
              <w:left w:val="single" w:color="auto" w:sz="2" w:space="0"/>
              <w:bottom w:val="single" w:color="auto" w:sz="2" w:space="0"/>
              <w:right w:val="single" w:color="auto" w:sz="2" w:space="0"/>
            </w:tcBorders>
            <w:vAlign w:val="center"/>
          </w:tcPr>
          <w:p w14:paraId="6DCE62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205,274,669.57</w:t>
            </w:r>
          </w:p>
        </w:tc>
      </w:tr>
      <w:tr w14:paraId="1535B2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BDFF91">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1072C4D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6,967,540.85</w:t>
            </w:r>
          </w:p>
        </w:tc>
        <w:tc>
          <w:tcPr>
            <w:tcW w:w="3213" w:type="dxa"/>
            <w:tcBorders>
              <w:top w:val="single" w:color="auto" w:sz="2" w:space="0"/>
              <w:left w:val="single" w:color="auto" w:sz="2" w:space="0"/>
              <w:bottom w:val="single" w:color="auto" w:sz="2" w:space="0"/>
              <w:right w:val="single" w:color="auto" w:sz="2" w:space="0"/>
            </w:tcBorders>
            <w:vAlign w:val="center"/>
          </w:tcPr>
          <w:p w14:paraId="730257E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8,096,652.63</w:t>
            </w:r>
          </w:p>
        </w:tc>
      </w:tr>
      <w:tr w14:paraId="1B9308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465C2E">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39FAEA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800,000.00</w:t>
            </w:r>
          </w:p>
        </w:tc>
        <w:tc>
          <w:tcPr>
            <w:tcW w:w="3213" w:type="dxa"/>
            <w:tcBorders>
              <w:top w:val="single" w:color="auto" w:sz="2" w:space="0"/>
              <w:left w:val="single" w:color="auto" w:sz="2" w:space="0"/>
              <w:bottom w:val="single" w:color="auto" w:sz="2" w:space="0"/>
              <w:right w:val="single" w:color="auto" w:sz="2" w:space="0"/>
            </w:tcBorders>
            <w:vAlign w:val="center"/>
          </w:tcPr>
          <w:p w14:paraId="41B114FB">
            <w:pPr>
              <w:spacing w:before="0" w:after="0" w:line="240" w:lineRule="exact"/>
              <w:jc w:val="right"/>
              <w:rPr>
                <w:rFonts w:ascii="宋体" w:hAnsi="宋体" w:eastAsia="宋体" w:cs="宋体"/>
                <w:color w:val="auto"/>
                <w:sz w:val="18"/>
                <w:szCs w:val="18"/>
              </w:rPr>
            </w:pPr>
          </w:p>
        </w:tc>
      </w:tr>
      <w:tr w14:paraId="715EDB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F7865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529E4D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110,027,040.85</w:t>
            </w:r>
          </w:p>
        </w:tc>
        <w:tc>
          <w:tcPr>
            <w:tcW w:w="3213" w:type="dxa"/>
            <w:tcBorders>
              <w:top w:val="single" w:color="auto" w:sz="2" w:space="0"/>
              <w:left w:val="single" w:color="auto" w:sz="2" w:space="0"/>
              <w:bottom w:val="single" w:color="auto" w:sz="2" w:space="0"/>
              <w:right w:val="single" w:color="auto" w:sz="2" w:space="0"/>
            </w:tcBorders>
            <w:vAlign w:val="center"/>
          </w:tcPr>
          <w:p w14:paraId="7CA772E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213,371,322.20</w:t>
            </w:r>
          </w:p>
        </w:tc>
      </w:tr>
      <w:tr w14:paraId="5343FD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1B4D0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4D8551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-57,027,040.85</w:t>
            </w:r>
          </w:p>
        </w:tc>
        <w:tc>
          <w:tcPr>
            <w:tcW w:w="3213" w:type="dxa"/>
            <w:tcBorders>
              <w:top w:val="single" w:color="auto" w:sz="2" w:space="0"/>
              <w:left w:val="single" w:color="auto" w:sz="2" w:space="0"/>
              <w:bottom w:val="single" w:color="auto" w:sz="2" w:space="0"/>
              <w:right w:val="single" w:color="auto" w:sz="2" w:space="0"/>
            </w:tcBorders>
            <w:vAlign w:val="center"/>
          </w:tcPr>
          <w:p w14:paraId="3B08BB5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-63,241,322.20</w:t>
            </w:r>
          </w:p>
        </w:tc>
      </w:tr>
      <w:tr w14:paraId="484E85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431B4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14:paraId="2A3C6A2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15C45D0">
            <w:pPr>
              <w:spacing w:before="0" w:after="0" w:line="240" w:lineRule="exact"/>
              <w:jc w:val="right"/>
              <w:rPr>
                <w:rFonts w:ascii="宋体" w:hAnsi="宋体" w:eastAsia="宋体" w:cs="宋体"/>
                <w:color w:val="auto"/>
                <w:sz w:val="18"/>
                <w:szCs w:val="18"/>
              </w:rPr>
            </w:pPr>
          </w:p>
        </w:tc>
      </w:tr>
      <w:tr w14:paraId="3E4DA7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82757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39DC6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-62,174,055.65</w:t>
            </w:r>
          </w:p>
        </w:tc>
        <w:tc>
          <w:tcPr>
            <w:tcW w:w="3213" w:type="dxa"/>
            <w:tcBorders>
              <w:top w:val="single" w:color="auto" w:sz="2" w:space="0"/>
              <w:left w:val="single" w:color="auto" w:sz="2" w:space="0"/>
              <w:bottom w:val="single" w:color="auto" w:sz="2" w:space="0"/>
              <w:right w:val="single" w:color="auto" w:sz="2" w:space="0"/>
            </w:tcBorders>
            <w:vAlign w:val="center"/>
          </w:tcPr>
          <w:p w14:paraId="74848AE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-54,003,567.90</w:t>
            </w:r>
          </w:p>
        </w:tc>
      </w:tr>
      <w:tr w14:paraId="6788F9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071E9E">
            <w:pPr>
              <w:spacing w:before="0" w:after="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2B9DB52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95,687,610.78</w:t>
            </w:r>
          </w:p>
        </w:tc>
        <w:tc>
          <w:tcPr>
            <w:tcW w:w="3213" w:type="dxa"/>
            <w:tcBorders>
              <w:top w:val="single" w:color="auto" w:sz="2" w:space="0"/>
              <w:left w:val="single" w:color="auto" w:sz="2" w:space="0"/>
              <w:bottom w:val="single" w:color="auto" w:sz="2" w:space="0"/>
              <w:right w:val="single" w:color="auto" w:sz="2" w:space="0"/>
            </w:tcBorders>
            <w:vAlign w:val="center"/>
          </w:tcPr>
          <w:p w14:paraId="6159289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133,659,808.33</w:t>
            </w:r>
          </w:p>
        </w:tc>
      </w:tr>
      <w:tr w14:paraId="2FB91F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D712F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2C5AA3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33,513,555.13</w:t>
            </w:r>
          </w:p>
        </w:tc>
        <w:tc>
          <w:tcPr>
            <w:tcW w:w="3213" w:type="dxa"/>
            <w:tcBorders>
              <w:top w:val="single" w:color="auto" w:sz="2" w:space="0"/>
              <w:left w:val="single" w:color="auto" w:sz="2" w:space="0"/>
              <w:bottom w:val="single" w:color="auto" w:sz="2" w:space="0"/>
              <w:right w:val="single" w:color="auto" w:sz="2" w:space="0"/>
            </w:tcBorders>
            <w:vAlign w:val="center"/>
          </w:tcPr>
          <w:p w14:paraId="5CED12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79,656,240.43</w:t>
            </w:r>
          </w:p>
        </w:tc>
      </w:tr>
    </w:tbl>
    <w:p w14:paraId="30DEA81D">
      <w:pPr>
        <w:keepNext/>
        <w:keepLines/>
        <w:spacing w:before="300" w:after="300" w:line="280" w:lineRule="exact"/>
        <w:jc w:val="left"/>
        <w:outlineLvl w:val="2"/>
        <w:rPr>
          <w:rFonts w:ascii="宋体" w:hAnsi="宋体" w:eastAsia="宋体" w:cs="宋体"/>
          <w:b/>
          <w:bCs/>
          <w:color w:val="auto"/>
          <w:sz w:val="21"/>
          <w:szCs w:val="21"/>
        </w:rPr>
      </w:pPr>
      <w:bookmarkStart w:id="9" w:name="_Toc988985"/>
      <w:r>
        <w:rPr>
          <w:rFonts w:ascii="宋体" w:hAnsi="宋体" w:eastAsia="宋体" w:cs="宋体"/>
          <w:b/>
          <w:bCs/>
          <w:color w:val="auto"/>
          <w:sz w:val="21"/>
          <w:szCs w:val="21"/>
        </w:rPr>
        <w:t>7、合并所有者权益变动表</w:t>
      </w:r>
      <w:bookmarkEnd w:id="9"/>
    </w:p>
    <w:p w14:paraId="54463C9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本期金额</w:t>
      </w:r>
    </w:p>
    <w:p w14:paraId="627A95C7">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0"/>
        <w:gridCol w:w="563"/>
        <w:gridCol w:w="563"/>
        <w:gridCol w:w="563"/>
        <w:gridCol w:w="563"/>
        <w:gridCol w:w="563"/>
        <w:gridCol w:w="563"/>
        <w:gridCol w:w="563"/>
        <w:gridCol w:w="563"/>
        <w:gridCol w:w="563"/>
        <w:gridCol w:w="563"/>
        <w:gridCol w:w="563"/>
        <w:gridCol w:w="563"/>
        <w:gridCol w:w="563"/>
        <w:gridCol w:w="563"/>
        <w:gridCol w:w="563"/>
      </w:tblGrid>
      <w:tr w14:paraId="4B1CEC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A36FED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8439" w:type="dxa"/>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703AA3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2025年半年度</w:t>
            </w:r>
          </w:p>
        </w:tc>
      </w:tr>
      <w:tr w14:paraId="4F9BC9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692488A">
            <w:pPr>
              <w:rPr>
                <w:color w:val="auto"/>
              </w:rPr>
            </w:pPr>
          </w:p>
        </w:tc>
        <w:tc>
          <w:tcPr>
            <w:tcW w:w="7314"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66E1A53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归属于母公司所有者权益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D1BB1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少数股东权益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F7BFB5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所有者权益合计</w:t>
            </w:r>
          </w:p>
        </w:tc>
      </w:tr>
      <w:tr w14:paraId="4DCABF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555DC0D">
            <w:pPr>
              <w:rPr>
                <w:color w:val="auto"/>
              </w:rPr>
            </w:pP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15DCA8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股本</w:t>
            </w:r>
          </w:p>
        </w:tc>
        <w:tc>
          <w:tcPr>
            <w:tcW w:w="1688"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6B73E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其他权益工具</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34DAEB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资本公积</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21AAD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减：库存股</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2AB0B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其他综合收益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34891A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专项储备</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1255C2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盈余公积</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3068E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一般风险准备</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46FE0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未分配利润</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DDDFE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56BF5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小计</w:t>
            </w: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9C693A">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A268274">
            <w:pPr>
              <w:rPr>
                <w:color w:val="auto"/>
              </w:rPr>
            </w:pPr>
          </w:p>
        </w:tc>
      </w:tr>
      <w:tr w14:paraId="3FD173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0D90C0">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ECDCBB3">
            <w:pPr>
              <w:rPr>
                <w:color w:val="auto"/>
              </w:rPr>
            </w:pPr>
          </w:p>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68879AC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优先股</w:t>
            </w:r>
          </w:p>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328BD35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永续债</w:t>
            </w:r>
          </w:p>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3409FB0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568EBF6">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DD2A2BA">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294A535">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vAlign w:val="center"/>
          </w:tcPr>
          <w:p w14:paraId="16D31465">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59232D">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B3D9D2B">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6F353D8">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52A1E29">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B668FF">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A59DAC5">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C3BC91">
            <w:pPr>
              <w:rPr>
                <w:color w:val="auto"/>
              </w:rPr>
            </w:pPr>
          </w:p>
        </w:tc>
      </w:tr>
      <w:tr w14:paraId="419AA2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9CB80F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一、上年年末余额</w:t>
            </w:r>
          </w:p>
        </w:tc>
        <w:tc>
          <w:tcPr>
            <w:tcW w:w="563" w:type="dxa"/>
            <w:tcBorders>
              <w:top w:val="single" w:color="auto" w:sz="2" w:space="0"/>
              <w:left w:val="single" w:color="auto" w:sz="2" w:space="0"/>
              <w:bottom w:val="single" w:color="auto" w:sz="2" w:space="0"/>
              <w:right w:val="single" w:color="auto" w:sz="2" w:space="0"/>
            </w:tcBorders>
            <w:vAlign w:val="center"/>
          </w:tcPr>
          <w:p w14:paraId="4857DCD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563" w:type="dxa"/>
            <w:tcBorders>
              <w:top w:val="single" w:color="auto" w:sz="2" w:space="0"/>
              <w:left w:val="single" w:color="auto" w:sz="2" w:space="0"/>
              <w:bottom w:val="single" w:color="auto" w:sz="2" w:space="0"/>
              <w:right w:val="single" w:color="auto" w:sz="2" w:space="0"/>
            </w:tcBorders>
            <w:vAlign w:val="center"/>
          </w:tcPr>
          <w:p w14:paraId="2D4E6E1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57C9C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EE069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37B6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607,925,894.48</w:t>
            </w:r>
          </w:p>
        </w:tc>
        <w:tc>
          <w:tcPr>
            <w:tcW w:w="563" w:type="dxa"/>
            <w:tcBorders>
              <w:top w:val="single" w:color="auto" w:sz="2" w:space="0"/>
              <w:left w:val="single" w:color="auto" w:sz="2" w:space="0"/>
              <w:bottom w:val="single" w:color="auto" w:sz="2" w:space="0"/>
              <w:right w:val="single" w:color="auto" w:sz="2" w:space="0"/>
            </w:tcBorders>
            <w:vAlign w:val="center"/>
          </w:tcPr>
          <w:p w14:paraId="3455736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A8656B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D6AB0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A8B1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563" w:type="dxa"/>
            <w:tcBorders>
              <w:top w:val="single" w:color="auto" w:sz="2" w:space="0"/>
              <w:left w:val="single" w:color="auto" w:sz="2" w:space="0"/>
              <w:bottom w:val="single" w:color="auto" w:sz="2" w:space="0"/>
              <w:right w:val="single" w:color="auto" w:sz="2" w:space="0"/>
            </w:tcBorders>
            <w:vAlign w:val="center"/>
          </w:tcPr>
          <w:p w14:paraId="48B9582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00211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-451,407,904.07</w:t>
            </w:r>
          </w:p>
        </w:tc>
        <w:tc>
          <w:tcPr>
            <w:tcW w:w="563" w:type="dxa"/>
            <w:tcBorders>
              <w:top w:val="single" w:color="auto" w:sz="2" w:space="0"/>
              <w:left w:val="single" w:color="auto" w:sz="2" w:space="0"/>
              <w:bottom w:val="single" w:color="auto" w:sz="2" w:space="0"/>
              <w:right w:val="single" w:color="auto" w:sz="2" w:space="0"/>
            </w:tcBorders>
            <w:vAlign w:val="center"/>
          </w:tcPr>
          <w:p w14:paraId="43FC68D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8D78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360,178,823.72</w:t>
            </w:r>
          </w:p>
        </w:tc>
        <w:tc>
          <w:tcPr>
            <w:tcW w:w="563" w:type="dxa"/>
            <w:tcBorders>
              <w:top w:val="single" w:color="auto" w:sz="2" w:space="0"/>
              <w:left w:val="single" w:color="auto" w:sz="2" w:space="0"/>
              <w:bottom w:val="single" w:color="auto" w:sz="2" w:space="0"/>
              <w:right w:val="single" w:color="auto" w:sz="2" w:space="0"/>
            </w:tcBorders>
            <w:vAlign w:val="center"/>
          </w:tcPr>
          <w:p w14:paraId="7B15A9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36,599,097.85</w:t>
            </w:r>
          </w:p>
        </w:tc>
        <w:tc>
          <w:tcPr>
            <w:tcW w:w="563" w:type="dxa"/>
            <w:tcBorders>
              <w:top w:val="single" w:color="auto" w:sz="2" w:space="0"/>
              <w:left w:val="single" w:color="auto" w:sz="2" w:space="0"/>
              <w:bottom w:val="single" w:color="auto" w:sz="2" w:space="0"/>
              <w:right w:val="single" w:color="auto" w:sz="2" w:space="0"/>
            </w:tcBorders>
            <w:vAlign w:val="center"/>
          </w:tcPr>
          <w:p w14:paraId="0C83C14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396,777,921.57</w:t>
            </w:r>
          </w:p>
        </w:tc>
      </w:tr>
      <w:tr w14:paraId="67F3FE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94C6164">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加：会计政策变更</w:t>
            </w:r>
          </w:p>
        </w:tc>
        <w:tc>
          <w:tcPr>
            <w:tcW w:w="563" w:type="dxa"/>
            <w:tcBorders>
              <w:top w:val="single" w:color="auto" w:sz="2" w:space="0"/>
              <w:left w:val="single" w:color="auto" w:sz="2" w:space="0"/>
              <w:bottom w:val="single" w:color="auto" w:sz="2" w:space="0"/>
              <w:right w:val="single" w:color="auto" w:sz="2" w:space="0"/>
            </w:tcBorders>
            <w:vAlign w:val="center"/>
          </w:tcPr>
          <w:p w14:paraId="61DBCED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574C38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E229A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BBC1C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6A3D71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BB4FD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B76D28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FE71C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4ACAB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D1F82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29B6C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59551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87CDC4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8CC09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B3DC2E">
            <w:pPr>
              <w:spacing w:before="0" w:after="0" w:line="240" w:lineRule="exact"/>
              <w:jc w:val="right"/>
              <w:rPr>
                <w:rFonts w:ascii="宋体" w:hAnsi="宋体" w:eastAsia="宋体" w:cs="宋体"/>
                <w:color w:val="auto"/>
                <w:sz w:val="18"/>
                <w:szCs w:val="18"/>
              </w:rPr>
            </w:pPr>
          </w:p>
        </w:tc>
      </w:tr>
      <w:tr w14:paraId="5A8B93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89D0194">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前期差错更正</w:t>
            </w:r>
          </w:p>
        </w:tc>
        <w:tc>
          <w:tcPr>
            <w:tcW w:w="563" w:type="dxa"/>
            <w:tcBorders>
              <w:top w:val="single" w:color="auto" w:sz="2" w:space="0"/>
              <w:left w:val="single" w:color="auto" w:sz="2" w:space="0"/>
              <w:bottom w:val="single" w:color="auto" w:sz="2" w:space="0"/>
              <w:right w:val="single" w:color="auto" w:sz="2" w:space="0"/>
            </w:tcBorders>
            <w:vAlign w:val="center"/>
          </w:tcPr>
          <w:p w14:paraId="74B7ABD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0DE33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BEFCA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BA7BE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8523C3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A7DEF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AFBE4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96B73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F4AD4A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1D1A5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0E5F4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472C5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E21BF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035AAB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4454D7">
            <w:pPr>
              <w:spacing w:before="0" w:after="0" w:line="240" w:lineRule="exact"/>
              <w:jc w:val="right"/>
              <w:rPr>
                <w:rFonts w:ascii="宋体" w:hAnsi="宋体" w:eastAsia="宋体" w:cs="宋体"/>
                <w:color w:val="auto"/>
                <w:sz w:val="18"/>
                <w:szCs w:val="18"/>
              </w:rPr>
            </w:pPr>
          </w:p>
        </w:tc>
      </w:tr>
      <w:tr w14:paraId="068DF0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D32E7E2">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563" w:type="dxa"/>
            <w:tcBorders>
              <w:top w:val="single" w:color="auto" w:sz="2" w:space="0"/>
              <w:left w:val="single" w:color="auto" w:sz="2" w:space="0"/>
              <w:bottom w:val="single" w:color="auto" w:sz="2" w:space="0"/>
              <w:right w:val="single" w:color="auto" w:sz="2" w:space="0"/>
            </w:tcBorders>
            <w:vAlign w:val="center"/>
          </w:tcPr>
          <w:p w14:paraId="77704F1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9069F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806D4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2B6D02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ED948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14836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76A6B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ACD396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81B70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44BC4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24780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3CB7CD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3E7DF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46082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8B3246F">
            <w:pPr>
              <w:spacing w:before="0" w:after="0" w:line="240" w:lineRule="exact"/>
              <w:jc w:val="right"/>
              <w:rPr>
                <w:rFonts w:ascii="宋体" w:hAnsi="宋体" w:eastAsia="宋体" w:cs="宋体"/>
                <w:color w:val="auto"/>
                <w:sz w:val="18"/>
                <w:szCs w:val="18"/>
              </w:rPr>
            </w:pPr>
          </w:p>
        </w:tc>
      </w:tr>
      <w:tr w14:paraId="48B958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2CE98E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二、本年期初余额</w:t>
            </w:r>
          </w:p>
        </w:tc>
        <w:tc>
          <w:tcPr>
            <w:tcW w:w="563" w:type="dxa"/>
            <w:tcBorders>
              <w:top w:val="single" w:color="auto" w:sz="2" w:space="0"/>
              <w:left w:val="single" w:color="auto" w:sz="2" w:space="0"/>
              <w:bottom w:val="single" w:color="auto" w:sz="2" w:space="0"/>
              <w:right w:val="single" w:color="auto" w:sz="2" w:space="0"/>
            </w:tcBorders>
            <w:vAlign w:val="center"/>
          </w:tcPr>
          <w:p w14:paraId="6231378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563" w:type="dxa"/>
            <w:tcBorders>
              <w:top w:val="single" w:color="auto" w:sz="2" w:space="0"/>
              <w:left w:val="single" w:color="auto" w:sz="2" w:space="0"/>
              <w:bottom w:val="single" w:color="auto" w:sz="2" w:space="0"/>
              <w:right w:val="single" w:color="auto" w:sz="2" w:space="0"/>
            </w:tcBorders>
            <w:vAlign w:val="center"/>
          </w:tcPr>
          <w:p w14:paraId="5A46BAA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7059E1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55AF4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BA74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607,925,894.48</w:t>
            </w:r>
          </w:p>
        </w:tc>
        <w:tc>
          <w:tcPr>
            <w:tcW w:w="563" w:type="dxa"/>
            <w:tcBorders>
              <w:top w:val="single" w:color="auto" w:sz="2" w:space="0"/>
              <w:left w:val="single" w:color="auto" w:sz="2" w:space="0"/>
              <w:bottom w:val="single" w:color="auto" w:sz="2" w:space="0"/>
              <w:right w:val="single" w:color="auto" w:sz="2" w:space="0"/>
            </w:tcBorders>
            <w:vAlign w:val="center"/>
          </w:tcPr>
          <w:p w14:paraId="0898E11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AB7B1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D5569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7E031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563" w:type="dxa"/>
            <w:tcBorders>
              <w:top w:val="single" w:color="auto" w:sz="2" w:space="0"/>
              <w:left w:val="single" w:color="auto" w:sz="2" w:space="0"/>
              <w:bottom w:val="single" w:color="auto" w:sz="2" w:space="0"/>
              <w:right w:val="single" w:color="auto" w:sz="2" w:space="0"/>
            </w:tcBorders>
            <w:vAlign w:val="center"/>
          </w:tcPr>
          <w:p w14:paraId="2926AC6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990D7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-451,407,904.07</w:t>
            </w:r>
          </w:p>
        </w:tc>
        <w:tc>
          <w:tcPr>
            <w:tcW w:w="563" w:type="dxa"/>
            <w:tcBorders>
              <w:top w:val="single" w:color="auto" w:sz="2" w:space="0"/>
              <w:left w:val="single" w:color="auto" w:sz="2" w:space="0"/>
              <w:bottom w:val="single" w:color="auto" w:sz="2" w:space="0"/>
              <w:right w:val="single" w:color="auto" w:sz="2" w:space="0"/>
            </w:tcBorders>
            <w:vAlign w:val="center"/>
          </w:tcPr>
          <w:p w14:paraId="5C3AA71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A6788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360,178,823.72</w:t>
            </w:r>
          </w:p>
        </w:tc>
        <w:tc>
          <w:tcPr>
            <w:tcW w:w="563" w:type="dxa"/>
            <w:tcBorders>
              <w:top w:val="single" w:color="auto" w:sz="2" w:space="0"/>
              <w:left w:val="single" w:color="auto" w:sz="2" w:space="0"/>
              <w:bottom w:val="single" w:color="auto" w:sz="2" w:space="0"/>
              <w:right w:val="single" w:color="auto" w:sz="2" w:space="0"/>
            </w:tcBorders>
            <w:vAlign w:val="center"/>
          </w:tcPr>
          <w:p w14:paraId="176235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36,599,097.85</w:t>
            </w:r>
          </w:p>
        </w:tc>
        <w:tc>
          <w:tcPr>
            <w:tcW w:w="563" w:type="dxa"/>
            <w:tcBorders>
              <w:top w:val="single" w:color="auto" w:sz="2" w:space="0"/>
              <w:left w:val="single" w:color="auto" w:sz="2" w:space="0"/>
              <w:bottom w:val="single" w:color="auto" w:sz="2" w:space="0"/>
              <w:right w:val="single" w:color="auto" w:sz="2" w:space="0"/>
            </w:tcBorders>
            <w:vAlign w:val="center"/>
          </w:tcPr>
          <w:p w14:paraId="2AD5CD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396,777,921.57</w:t>
            </w:r>
          </w:p>
        </w:tc>
      </w:tr>
      <w:tr w14:paraId="6469CD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29590F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三、本期增减变动金额（减少以“－”号填列）</w:t>
            </w:r>
          </w:p>
        </w:tc>
        <w:tc>
          <w:tcPr>
            <w:tcW w:w="563" w:type="dxa"/>
            <w:tcBorders>
              <w:top w:val="single" w:color="auto" w:sz="2" w:space="0"/>
              <w:left w:val="single" w:color="auto" w:sz="2" w:space="0"/>
              <w:bottom w:val="single" w:color="auto" w:sz="2" w:space="0"/>
              <w:right w:val="single" w:color="auto" w:sz="2" w:space="0"/>
            </w:tcBorders>
            <w:vAlign w:val="center"/>
          </w:tcPr>
          <w:p w14:paraId="21E8039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B9101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D5567F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E2260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81A26F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-754,716.98</w:t>
            </w:r>
          </w:p>
        </w:tc>
        <w:tc>
          <w:tcPr>
            <w:tcW w:w="563" w:type="dxa"/>
            <w:tcBorders>
              <w:top w:val="single" w:color="auto" w:sz="2" w:space="0"/>
              <w:left w:val="single" w:color="auto" w:sz="2" w:space="0"/>
              <w:bottom w:val="single" w:color="auto" w:sz="2" w:space="0"/>
              <w:right w:val="single" w:color="auto" w:sz="2" w:space="0"/>
            </w:tcBorders>
            <w:vAlign w:val="center"/>
          </w:tcPr>
          <w:p w14:paraId="0155154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7699D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28531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398D8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54997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646BF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-66,688,112.39</w:t>
            </w:r>
          </w:p>
        </w:tc>
        <w:tc>
          <w:tcPr>
            <w:tcW w:w="563" w:type="dxa"/>
            <w:tcBorders>
              <w:top w:val="single" w:color="auto" w:sz="2" w:space="0"/>
              <w:left w:val="single" w:color="auto" w:sz="2" w:space="0"/>
              <w:bottom w:val="single" w:color="auto" w:sz="2" w:space="0"/>
              <w:right w:val="single" w:color="auto" w:sz="2" w:space="0"/>
            </w:tcBorders>
            <w:vAlign w:val="center"/>
          </w:tcPr>
          <w:p w14:paraId="70CB6F1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E5D31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-67,442,829.37</w:t>
            </w:r>
          </w:p>
        </w:tc>
        <w:tc>
          <w:tcPr>
            <w:tcW w:w="563" w:type="dxa"/>
            <w:tcBorders>
              <w:top w:val="single" w:color="auto" w:sz="2" w:space="0"/>
              <w:left w:val="single" w:color="auto" w:sz="2" w:space="0"/>
              <w:bottom w:val="single" w:color="auto" w:sz="2" w:space="0"/>
              <w:right w:val="single" w:color="auto" w:sz="2" w:space="0"/>
            </w:tcBorders>
            <w:vAlign w:val="center"/>
          </w:tcPr>
          <w:p w14:paraId="65750F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-3,719,161.46</w:t>
            </w:r>
          </w:p>
        </w:tc>
        <w:tc>
          <w:tcPr>
            <w:tcW w:w="563" w:type="dxa"/>
            <w:tcBorders>
              <w:top w:val="single" w:color="auto" w:sz="2" w:space="0"/>
              <w:left w:val="single" w:color="auto" w:sz="2" w:space="0"/>
              <w:bottom w:val="single" w:color="auto" w:sz="2" w:space="0"/>
              <w:right w:val="single" w:color="auto" w:sz="2" w:space="0"/>
            </w:tcBorders>
            <w:vAlign w:val="center"/>
          </w:tcPr>
          <w:p w14:paraId="735449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-71,161,990.83</w:t>
            </w:r>
          </w:p>
        </w:tc>
      </w:tr>
      <w:tr w14:paraId="06D0FA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04F3F7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（一）综合收益总额</w:t>
            </w:r>
          </w:p>
        </w:tc>
        <w:tc>
          <w:tcPr>
            <w:tcW w:w="563" w:type="dxa"/>
            <w:tcBorders>
              <w:top w:val="single" w:color="auto" w:sz="2" w:space="0"/>
              <w:left w:val="single" w:color="auto" w:sz="2" w:space="0"/>
              <w:bottom w:val="single" w:color="auto" w:sz="2" w:space="0"/>
              <w:right w:val="single" w:color="auto" w:sz="2" w:space="0"/>
            </w:tcBorders>
            <w:vAlign w:val="center"/>
          </w:tcPr>
          <w:p w14:paraId="079EA82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C075A8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9A6D6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785FA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70DEB4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19012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3903D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C7BDA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CC7EC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35878A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CB63F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-66,688,112.39</w:t>
            </w:r>
          </w:p>
        </w:tc>
        <w:tc>
          <w:tcPr>
            <w:tcW w:w="563" w:type="dxa"/>
            <w:tcBorders>
              <w:top w:val="single" w:color="auto" w:sz="2" w:space="0"/>
              <w:left w:val="single" w:color="auto" w:sz="2" w:space="0"/>
              <w:bottom w:val="single" w:color="auto" w:sz="2" w:space="0"/>
              <w:right w:val="single" w:color="auto" w:sz="2" w:space="0"/>
            </w:tcBorders>
            <w:vAlign w:val="center"/>
          </w:tcPr>
          <w:p w14:paraId="1119158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33349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-66,688,112.39</w:t>
            </w:r>
          </w:p>
        </w:tc>
        <w:tc>
          <w:tcPr>
            <w:tcW w:w="563" w:type="dxa"/>
            <w:tcBorders>
              <w:top w:val="single" w:color="auto" w:sz="2" w:space="0"/>
              <w:left w:val="single" w:color="auto" w:sz="2" w:space="0"/>
              <w:bottom w:val="single" w:color="auto" w:sz="2" w:space="0"/>
              <w:right w:val="single" w:color="auto" w:sz="2" w:space="0"/>
            </w:tcBorders>
            <w:vAlign w:val="center"/>
          </w:tcPr>
          <w:p w14:paraId="1B2059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-3,719,161.46</w:t>
            </w:r>
          </w:p>
        </w:tc>
        <w:tc>
          <w:tcPr>
            <w:tcW w:w="563" w:type="dxa"/>
            <w:tcBorders>
              <w:top w:val="single" w:color="auto" w:sz="2" w:space="0"/>
              <w:left w:val="single" w:color="auto" w:sz="2" w:space="0"/>
              <w:bottom w:val="single" w:color="auto" w:sz="2" w:space="0"/>
              <w:right w:val="single" w:color="auto" w:sz="2" w:space="0"/>
            </w:tcBorders>
            <w:vAlign w:val="center"/>
          </w:tcPr>
          <w:p w14:paraId="3F3213A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-70,407,273.85</w:t>
            </w:r>
          </w:p>
        </w:tc>
      </w:tr>
      <w:tr w14:paraId="00677A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80D330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（二）所有者投入和减少资本</w:t>
            </w:r>
          </w:p>
        </w:tc>
        <w:tc>
          <w:tcPr>
            <w:tcW w:w="563" w:type="dxa"/>
            <w:tcBorders>
              <w:top w:val="single" w:color="auto" w:sz="2" w:space="0"/>
              <w:left w:val="single" w:color="auto" w:sz="2" w:space="0"/>
              <w:bottom w:val="single" w:color="auto" w:sz="2" w:space="0"/>
              <w:right w:val="single" w:color="auto" w:sz="2" w:space="0"/>
            </w:tcBorders>
            <w:vAlign w:val="center"/>
          </w:tcPr>
          <w:p w14:paraId="45E58E4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57671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0E4C4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BEABD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F8C08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6CA7B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9DD77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CF0A5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5D672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4F766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F6F300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6F4F4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81EFE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C70B3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AC79581">
            <w:pPr>
              <w:spacing w:before="0" w:after="0" w:line="240" w:lineRule="exact"/>
              <w:jc w:val="right"/>
              <w:rPr>
                <w:rFonts w:ascii="宋体" w:hAnsi="宋体" w:eastAsia="宋体" w:cs="宋体"/>
                <w:color w:val="auto"/>
                <w:sz w:val="18"/>
                <w:szCs w:val="18"/>
              </w:rPr>
            </w:pPr>
          </w:p>
        </w:tc>
      </w:tr>
      <w:tr w14:paraId="306BEB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4E32DB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1．所有者投入的普通股</w:t>
            </w:r>
          </w:p>
        </w:tc>
        <w:tc>
          <w:tcPr>
            <w:tcW w:w="563" w:type="dxa"/>
            <w:tcBorders>
              <w:top w:val="single" w:color="auto" w:sz="2" w:space="0"/>
              <w:left w:val="single" w:color="auto" w:sz="2" w:space="0"/>
              <w:bottom w:val="single" w:color="auto" w:sz="2" w:space="0"/>
              <w:right w:val="single" w:color="auto" w:sz="2" w:space="0"/>
            </w:tcBorders>
            <w:vAlign w:val="center"/>
          </w:tcPr>
          <w:p w14:paraId="74355D8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07D1D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DE6AD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A3F24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D30434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C80BD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56D45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761E8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1C497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BFEB6D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35264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EA359D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0BE1E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295E7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5BA7AB">
            <w:pPr>
              <w:spacing w:before="0" w:after="0" w:line="240" w:lineRule="exact"/>
              <w:jc w:val="right"/>
              <w:rPr>
                <w:rFonts w:ascii="宋体" w:hAnsi="宋体" w:eastAsia="宋体" w:cs="宋体"/>
                <w:color w:val="auto"/>
                <w:sz w:val="18"/>
                <w:szCs w:val="18"/>
              </w:rPr>
            </w:pPr>
          </w:p>
        </w:tc>
      </w:tr>
      <w:tr w14:paraId="3891D1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8BA45E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2．其他权益工具持有者投入资本</w:t>
            </w:r>
          </w:p>
        </w:tc>
        <w:tc>
          <w:tcPr>
            <w:tcW w:w="563" w:type="dxa"/>
            <w:tcBorders>
              <w:top w:val="single" w:color="auto" w:sz="2" w:space="0"/>
              <w:left w:val="single" w:color="auto" w:sz="2" w:space="0"/>
              <w:bottom w:val="single" w:color="auto" w:sz="2" w:space="0"/>
              <w:right w:val="single" w:color="auto" w:sz="2" w:space="0"/>
            </w:tcBorders>
            <w:vAlign w:val="center"/>
          </w:tcPr>
          <w:p w14:paraId="01654EA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21349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C2E8E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2F192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AB656B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C5664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32237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43676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9C8F7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8B41A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EDE4A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548AC0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67C59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844F59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C2CB2B">
            <w:pPr>
              <w:spacing w:before="0" w:after="0" w:line="240" w:lineRule="exact"/>
              <w:jc w:val="right"/>
              <w:rPr>
                <w:rFonts w:ascii="宋体" w:hAnsi="宋体" w:eastAsia="宋体" w:cs="宋体"/>
                <w:color w:val="auto"/>
                <w:sz w:val="18"/>
                <w:szCs w:val="18"/>
              </w:rPr>
            </w:pPr>
          </w:p>
        </w:tc>
      </w:tr>
      <w:tr w14:paraId="3121CC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3DBE2A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3．股份支付计入所有者权益的金额</w:t>
            </w:r>
          </w:p>
        </w:tc>
        <w:tc>
          <w:tcPr>
            <w:tcW w:w="563" w:type="dxa"/>
            <w:tcBorders>
              <w:top w:val="single" w:color="auto" w:sz="2" w:space="0"/>
              <w:left w:val="single" w:color="auto" w:sz="2" w:space="0"/>
              <w:bottom w:val="single" w:color="auto" w:sz="2" w:space="0"/>
              <w:right w:val="single" w:color="auto" w:sz="2" w:space="0"/>
            </w:tcBorders>
            <w:vAlign w:val="center"/>
          </w:tcPr>
          <w:p w14:paraId="0C1DA3E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40AAF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B8107B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0D881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56255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22D6E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EA934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25DA05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0BAF7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A3AF5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6A729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82B15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8484C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42815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276C78">
            <w:pPr>
              <w:spacing w:before="0" w:after="0" w:line="240" w:lineRule="exact"/>
              <w:jc w:val="right"/>
              <w:rPr>
                <w:rFonts w:ascii="宋体" w:hAnsi="宋体" w:eastAsia="宋体" w:cs="宋体"/>
                <w:color w:val="auto"/>
                <w:sz w:val="18"/>
                <w:szCs w:val="18"/>
              </w:rPr>
            </w:pPr>
          </w:p>
        </w:tc>
      </w:tr>
      <w:tr w14:paraId="1CA521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DAFD7B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4．其他</w:t>
            </w:r>
          </w:p>
        </w:tc>
        <w:tc>
          <w:tcPr>
            <w:tcW w:w="563" w:type="dxa"/>
            <w:tcBorders>
              <w:top w:val="single" w:color="auto" w:sz="2" w:space="0"/>
              <w:left w:val="single" w:color="auto" w:sz="2" w:space="0"/>
              <w:bottom w:val="single" w:color="auto" w:sz="2" w:space="0"/>
              <w:right w:val="single" w:color="auto" w:sz="2" w:space="0"/>
            </w:tcBorders>
            <w:vAlign w:val="center"/>
          </w:tcPr>
          <w:p w14:paraId="05B77A7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BB3F4B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8C811F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E8B6C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C1BFE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F02A6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4D083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CC8F00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0A018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A3A622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3EEE9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062F0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DBC36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E1CD2C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85F5207">
            <w:pPr>
              <w:spacing w:before="0" w:after="0" w:line="240" w:lineRule="exact"/>
              <w:jc w:val="right"/>
              <w:rPr>
                <w:rFonts w:ascii="宋体" w:hAnsi="宋体" w:eastAsia="宋体" w:cs="宋体"/>
                <w:color w:val="auto"/>
                <w:sz w:val="18"/>
                <w:szCs w:val="18"/>
              </w:rPr>
            </w:pPr>
          </w:p>
        </w:tc>
      </w:tr>
      <w:tr w14:paraId="009A99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A918C2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（三）利润分配</w:t>
            </w:r>
          </w:p>
        </w:tc>
        <w:tc>
          <w:tcPr>
            <w:tcW w:w="563" w:type="dxa"/>
            <w:tcBorders>
              <w:top w:val="single" w:color="auto" w:sz="2" w:space="0"/>
              <w:left w:val="single" w:color="auto" w:sz="2" w:space="0"/>
              <w:bottom w:val="single" w:color="auto" w:sz="2" w:space="0"/>
              <w:right w:val="single" w:color="auto" w:sz="2" w:space="0"/>
            </w:tcBorders>
            <w:vAlign w:val="center"/>
          </w:tcPr>
          <w:p w14:paraId="579CBA2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D340C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01E88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D996D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4404C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E6CE09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60A6A4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6B5B1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0CB7B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3E80A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8FB77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ECBB4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F1ADB7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8DB92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174593">
            <w:pPr>
              <w:spacing w:before="0" w:after="0" w:line="240" w:lineRule="exact"/>
              <w:jc w:val="right"/>
              <w:rPr>
                <w:rFonts w:ascii="宋体" w:hAnsi="宋体" w:eastAsia="宋体" w:cs="宋体"/>
                <w:color w:val="auto"/>
                <w:sz w:val="18"/>
                <w:szCs w:val="18"/>
              </w:rPr>
            </w:pPr>
          </w:p>
        </w:tc>
      </w:tr>
      <w:tr w14:paraId="421596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1AE210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1．提取盈余公积</w:t>
            </w:r>
          </w:p>
        </w:tc>
        <w:tc>
          <w:tcPr>
            <w:tcW w:w="563" w:type="dxa"/>
            <w:tcBorders>
              <w:top w:val="single" w:color="auto" w:sz="2" w:space="0"/>
              <w:left w:val="single" w:color="auto" w:sz="2" w:space="0"/>
              <w:bottom w:val="single" w:color="auto" w:sz="2" w:space="0"/>
              <w:right w:val="single" w:color="auto" w:sz="2" w:space="0"/>
            </w:tcBorders>
            <w:vAlign w:val="center"/>
          </w:tcPr>
          <w:p w14:paraId="6CBF565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6DDD0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9ED0A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8C60E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DA2982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B22C4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80E5F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2A9D88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3F696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91B1F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9DE78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51D79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A581D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64AC38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B301F7E">
            <w:pPr>
              <w:spacing w:before="0" w:after="0" w:line="240" w:lineRule="exact"/>
              <w:jc w:val="right"/>
              <w:rPr>
                <w:rFonts w:ascii="宋体" w:hAnsi="宋体" w:eastAsia="宋体" w:cs="宋体"/>
                <w:color w:val="auto"/>
                <w:sz w:val="18"/>
                <w:szCs w:val="18"/>
              </w:rPr>
            </w:pPr>
          </w:p>
        </w:tc>
      </w:tr>
      <w:tr w14:paraId="6F7716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9D6EF5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2．提取一般风险准备</w:t>
            </w:r>
          </w:p>
        </w:tc>
        <w:tc>
          <w:tcPr>
            <w:tcW w:w="563" w:type="dxa"/>
            <w:tcBorders>
              <w:top w:val="single" w:color="auto" w:sz="2" w:space="0"/>
              <w:left w:val="single" w:color="auto" w:sz="2" w:space="0"/>
              <w:bottom w:val="single" w:color="auto" w:sz="2" w:space="0"/>
              <w:right w:val="single" w:color="auto" w:sz="2" w:space="0"/>
            </w:tcBorders>
            <w:vAlign w:val="center"/>
          </w:tcPr>
          <w:p w14:paraId="3FCA3E2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1B1B3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10377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6C994F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3150C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81ED9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E278D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6E4AEA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EC5C0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39C23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A81DB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9ED17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C4411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D19A6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24A3D65">
            <w:pPr>
              <w:spacing w:before="0" w:after="0" w:line="240" w:lineRule="exact"/>
              <w:jc w:val="right"/>
              <w:rPr>
                <w:rFonts w:ascii="宋体" w:hAnsi="宋体" w:eastAsia="宋体" w:cs="宋体"/>
                <w:color w:val="auto"/>
                <w:sz w:val="18"/>
                <w:szCs w:val="18"/>
              </w:rPr>
            </w:pPr>
          </w:p>
        </w:tc>
      </w:tr>
      <w:tr w14:paraId="6A3257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4FB45E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3．对所有者（或股东）的分配</w:t>
            </w:r>
          </w:p>
        </w:tc>
        <w:tc>
          <w:tcPr>
            <w:tcW w:w="563" w:type="dxa"/>
            <w:tcBorders>
              <w:top w:val="single" w:color="auto" w:sz="2" w:space="0"/>
              <w:left w:val="single" w:color="auto" w:sz="2" w:space="0"/>
              <w:bottom w:val="single" w:color="auto" w:sz="2" w:space="0"/>
              <w:right w:val="single" w:color="auto" w:sz="2" w:space="0"/>
            </w:tcBorders>
            <w:vAlign w:val="center"/>
          </w:tcPr>
          <w:p w14:paraId="0DDE3B2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2ADE9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6C620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13C0B7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5F63CC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03B3AC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5DA1C7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A23A13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FDB06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618E20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A0F37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900E2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077242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4B940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2F54E6">
            <w:pPr>
              <w:spacing w:before="0" w:after="0" w:line="240" w:lineRule="exact"/>
              <w:jc w:val="right"/>
              <w:rPr>
                <w:rFonts w:ascii="宋体" w:hAnsi="宋体" w:eastAsia="宋体" w:cs="宋体"/>
                <w:color w:val="auto"/>
                <w:sz w:val="18"/>
                <w:szCs w:val="18"/>
              </w:rPr>
            </w:pPr>
          </w:p>
        </w:tc>
      </w:tr>
      <w:tr w14:paraId="25D4CE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848FAD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4．其他</w:t>
            </w:r>
          </w:p>
        </w:tc>
        <w:tc>
          <w:tcPr>
            <w:tcW w:w="563" w:type="dxa"/>
            <w:tcBorders>
              <w:top w:val="single" w:color="auto" w:sz="2" w:space="0"/>
              <w:left w:val="single" w:color="auto" w:sz="2" w:space="0"/>
              <w:bottom w:val="single" w:color="auto" w:sz="2" w:space="0"/>
              <w:right w:val="single" w:color="auto" w:sz="2" w:space="0"/>
            </w:tcBorders>
            <w:vAlign w:val="center"/>
          </w:tcPr>
          <w:p w14:paraId="18B14EE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62AB4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E1AE6F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BCE2BB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AE9D8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83EEE4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CD372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6FE70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E9CEA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BC01E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EBD45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E69C7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8116E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28D3D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C5994A">
            <w:pPr>
              <w:spacing w:before="0" w:after="0" w:line="240" w:lineRule="exact"/>
              <w:jc w:val="right"/>
              <w:rPr>
                <w:rFonts w:ascii="宋体" w:hAnsi="宋体" w:eastAsia="宋体" w:cs="宋体"/>
                <w:color w:val="auto"/>
                <w:sz w:val="18"/>
                <w:szCs w:val="18"/>
              </w:rPr>
            </w:pPr>
          </w:p>
        </w:tc>
      </w:tr>
      <w:tr w14:paraId="47C907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A85012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（四）所有者权益内部结转</w:t>
            </w:r>
          </w:p>
        </w:tc>
        <w:tc>
          <w:tcPr>
            <w:tcW w:w="563" w:type="dxa"/>
            <w:tcBorders>
              <w:top w:val="single" w:color="auto" w:sz="2" w:space="0"/>
              <w:left w:val="single" w:color="auto" w:sz="2" w:space="0"/>
              <w:bottom w:val="single" w:color="auto" w:sz="2" w:space="0"/>
              <w:right w:val="single" w:color="auto" w:sz="2" w:space="0"/>
            </w:tcBorders>
            <w:vAlign w:val="center"/>
          </w:tcPr>
          <w:p w14:paraId="0677749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23824A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91F43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BEA2C4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8AE8FB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BC6FD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ABFA2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B0F6CD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115A84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90775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A991C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A0058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3728B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7DAAE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50E8C8">
            <w:pPr>
              <w:spacing w:before="0" w:after="0" w:line="240" w:lineRule="exact"/>
              <w:jc w:val="right"/>
              <w:rPr>
                <w:rFonts w:ascii="宋体" w:hAnsi="宋体" w:eastAsia="宋体" w:cs="宋体"/>
                <w:color w:val="auto"/>
                <w:sz w:val="18"/>
                <w:szCs w:val="18"/>
              </w:rPr>
            </w:pPr>
          </w:p>
        </w:tc>
      </w:tr>
      <w:tr w14:paraId="183B70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CD050F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1．资本公积转增资本（或股本）</w:t>
            </w:r>
          </w:p>
        </w:tc>
        <w:tc>
          <w:tcPr>
            <w:tcW w:w="563" w:type="dxa"/>
            <w:tcBorders>
              <w:top w:val="single" w:color="auto" w:sz="2" w:space="0"/>
              <w:left w:val="single" w:color="auto" w:sz="2" w:space="0"/>
              <w:bottom w:val="single" w:color="auto" w:sz="2" w:space="0"/>
              <w:right w:val="single" w:color="auto" w:sz="2" w:space="0"/>
            </w:tcBorders>
            <w:vAlign w:val="center"/>
          </w:tcPr>
          <w:p w14:paraId="2B1433A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96645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1D6122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87837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07BA7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C3A4B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78B41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C8C93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52E9A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E3AAD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9BFB6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893B30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160FA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4B236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FA2F1D">
            <w:pPr>
              <w:spacing w:before="0" w:after="0" w:line="240" w:lineRule="exact"/>
              <w:jc w:val="right"/>
              <w:rPr>
                <w:rFonts w:ascii="宋体" w:hAnsi="宋体" w:eastAsia="宋体" w:cs="宋体"/>
                <w:color w:val="auto"/>
                <w:sz w:val="18"/>
                <w:szCs w:val="18"/>
              </w:rPr>
            </w:pPr>
          </w:p>
        </w:tc>
      </w:tr>
      <w:tr w14:paraId="224E66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74B2B5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2．盈余公积转增资本（或股本）</w:t>
            </w:r>
          </w:p>
        </w:tc>
        <w:tc>
          <w:tcPr>
            <w:tcW w:w="563" w:type="dxa"/>
            <w:tcBorders>
              <w:top w:val="single" w:color="auto" w:sz="2" w:space="0"/>
              <w:left w:val="single" w:color="auto" w:sz="2" w:space="0"/>
              <w:bottom w:val="single" w:color="auto" w:sz="2" w:space="0"/>
              <w:right w:val="single" w:color="auto" w:sz="2" w:space="0"/>
            </w:tcBorders>
            <w:vAlign w:val="center"/>
          </w:tcPr>
          <w:p w14:paraId="31B7C6D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21564F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94ED5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6DF493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64B2B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7C7CF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05DC8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FE30A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B1CE47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C42EF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2E8E57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2F363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D05F71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2F5F7F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D3DA00">
            <w:pPr>
              <w:spacing w:before="0" w:after="0" w:line="240" w:lineRule="exact"/>
              <w:jc w:val="right"/>
              <w:rPr>
                <w:rFonts w:ascii="宋体" w:hAnsi="宋体" w:eastAsia="宋体" w:cs="宋体"/>
                <w:color w:val="auto"/>
                <w:sz w:val="18"/>
                <w:szCs w:val="18"/>
              </w:rPr>
            </w:pPr>
          </w:p>
        </w:tc>
      </w:tr>
      <w:tr w14:paraId="412B94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FBEAFF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3．盈余公积弥补亏损</w:t>
            </w:r>
          </w:p>
        </w:tc>
        <w:tc>
          <w:tcPr>
            <w:tcW w:w="563" w:type="dxa"/>
            <w:tcBorders>
              <w:top w:val="single" w:color="auto" w:sz="2" w:space="0"/>
              <w:left w:val="single" w:color="auto" w:sz="2" w:space="0"/>
              <w:bottom w:val="single" w:color="auto" w:sz="2" w:space="0"/>
              <w:right w:val="single" w:color="auto" w:sz="2" w:space="0"/>
            </w:tcBorders>
            <w:vAlign w:val="center"/>
          </w:tcPr>
          <w:p w14:paraId="3D91CBD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7987C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5071B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5808D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82F5E9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CF364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838478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36613B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C86B2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CC335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4D1C2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32BDC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4793B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61C46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D870F4">
            <w:pPr>
              <w:spacing w:before="0" w:after="0" w:line="240" w:lineRule="exact"/>
              <w:jc w:val="right"/>
              <w:rPr>
                <w:rFonts w:ascii="宋体" w:hAnsi="宋体" w:eastAsia="宋体" w:cs="宋体"/>
                <w:color w:val="auto"/>
                <w:sz w:val="18"/>
                <w:szCs w:val="18"/>
              </w:rPr>
            </w:pPr>
          </w:p>
        </w:tc>
      </w:tr>
      <w:tr w14:paraId="5D020C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4C6C9B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4．设定受益计划变动额结转留存收益</w:t>
            </w:r>
          </w:p>
        </w:tc>
        <w:tc>
          <w:tcPr>
            <w:tcW w:w="563" w:type="dxa"/>
            <w:tcBorders>
              <w:top w:val="single" w:color="auto" w:sz="2" w:space="0"/>
              <w:left w:val="single" w:color="auto" w:sz="2" w:space="0"/>
              <w:bottom w:val="single" w:color="auto" w:sz="2" w:space="0"/>
              <w:right w:val="single" w:color="auto" w:sz="2" w:space="0"/>
            </w:tcBorders>
            <w:vAlign w:val="center"/>
          </w:tcPr>
          <w:p w14:paraId="1283570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8545B3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85D57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28BA9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104C8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1D65E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DB4227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C314F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9D742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CD73F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1C7714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C5187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DA9CC9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32AFF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AE68B8">
            <w:pPr>
              <w:spacing w:before="0" w:after="0" w:line="240" w:lineRule="exact"/>
              <w:jc w:val="right"/>
              <w:rPr>
                <w:rFonts w:ascii="宋体" w:hAnsi="宋体" w:eastAsia="宋体" w:cs="宋体"/>
                <w:color w:val="auto"/>
                <w:sz w:val="18"/>
                <w:szCs w:val="18"/>
              </w:rPr>
            </w:pPr>
          </w:p>
        </w:tc>
      </w:tr>
      <w:tr w14:paraId="19733C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BAE198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5．其他综合收益结转留存收益</w:t>
            </w:r>
          </w:p>
        </w:tc>
        <w:tc>
          <w:tcPr>
            <w:tcW w:w="563" w:type="dxa"/>
            <w:tcBorders>
              <w:top w:val="single" w:color="auto" w:sz="2" w:space="0"/>
              <w:left w:val="single" w:color="auto" w:sz="2" w:space="0"/>
              <w:bottom w:val="single" w:color="auto" w:sz="2" w:space="0"/>
              <w:right w:val="single" w:color="auto" w:sz="2" w:space="0"/>
            </w:tcBorders>
            <w:vAlign w:val="center"/>
          </w:tcPr>
          <w:p w14:paraId="1FAD747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6ABC1B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0CB25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FCCEB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3E481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B95507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BFA5C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93B19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5D1EF2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AA51D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D424EA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02AEDE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14094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E3563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E43FC54">
            <w:pPr>
              <w:spacing w:before="0" w:after="0" w:line="240" w:lineRule="exact"/>
              <w:jc w:val="right"/>
              <w:rPr>
                <w:rFonts w:ascii="宋体" w:hAnsi="宋体" w:eastAsia="宋体" w:cs="宋体"/>
                <w:color w:val="auto"/>
                <w:sz w:val="18"/>
                <w:szCs w:val="18"/>
              </w:rPr>
            </w:pPr>
          </w:p>
        </w:tc>
      </w:tr>
      <w:tr w14:paraId="6AC27C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306ABE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6．其他</w:t>
            </w:r>
          </w:p>
        </w:tc>
        <w:tc>
          <w:tcPr>
            <w:tcW w:w="563" w:type="dxa"/>
            <w:tcBorders>
              <w:top w:val="single" w:color="auto" w:sz="2" w:space="0"/>
              <w:left w:val="single" w:color="auto" w:sz="2" w:space="0"/>
              <w:bottom w:val="single" w:color="auto" w:sz="2" w:space="0"/>
              <w:right w:val="single" w:color="auto" w:sz="2" w:space="0"/>
            </w:tcBorders>
            <w:vAlign w:val="center"/>
          </w:tcPr>
          <w:p w14:paraId="5FEDCA4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EFF48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20E1B5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3CCDC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19C90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9111F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1B99A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8CC53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73840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6F5A0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86590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9002C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67B22B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619DBE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B438F3">
            <w:pPr>
              <w:spacing w:before="0" w:after="0" w:line="240" w:lineRule="exact"/>
              <w:jc w:val="right"/>
              <w:rPr>
                <w:rFonts w:ascii="宋体" w:hAnsi="宋体" w:eastAsia="宋体" w:cs="宋体"/>
                <w:color w:val="auto"/>
                <w:sz w:val="18"/>
                <w:szCs w:val="18"/>
              </w:rPr>
            </w:pPr>
          </w:p>
        </w:tc>
      </w:tr>
      <w:tr w14:paraId="34B5EA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F7A73C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（五）专项储备</w:t>
            </w:r>
          </w:p>
        </w:tc>
        <w:tc>
          <w:tcPr>
            <w:tcW w:w="563" w:type="dxa"/>
            <w:tcBorders>
              <w:top w:val="single" w:color="auto" w:sz="2" w:space="0"/>
              <w:left w:val="single" w:color="auto" w:sz="2" w:space="0"/>
              <w:bottom w:val="single" w:color="auto" w:sz="2" w:space="0"/>
              <w:right w:val="single" w:color="auto" w:sz="2" w:space="0"/>
            </w:tcBorders>
            <w:vAlign w:val="center"/>
          </w:tcPr>
          <w:p w14:paraId="0563434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03C6F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133F55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40CA4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ABFF6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35A09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70A26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F967A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B7A07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C9CB1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AD132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8D821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B1BEF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6C148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34EDE9">
            <w:pPr>
              <w:spacing w:before="0" w:after="0" w:line="240" w:lineRule="exact"/>
              <w:jc w:val="right"/>
              <w:rPr>
                <w:rFonts w:ascii="宋体" w:hAnsi="宋体" w:eastAsia="宋体" w:cs="宋体"/>
                <w:color w:val="auto"/>
                <w:sz w:val="18"/>
                <w:szCs w:val="18"/>
              </w:rPr>
            </w:pPr>
          </w:p>
        </w:tc>
      </w:tr>
      <w:tr w14:paraId="2F55F7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A5FCDF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1．本期提取</w:t>
            </w:r>
          </w:p>
        </w:tc>
        <w:tc>
          <w:tcPr>
            <w:tcW w:w="563" w:type="dxa"/>
            <w:tcBorders>
              <w:top w:val="single" w:color="auto" w:sz="2" w:space="0"/>
              <w:left w:val="single" w:color="auto" w:sz="2" w:space="0"/>
              <w:bottom w:val="single" w:color="auto" w:sz="2" w:space="0"/>
              <w:right w:val="single" w:color="auto" w:sz="2" w:space="0"/>
            </w:tcBorders>
            <w:vAlign w:val="center"/>
          </w:tcPr>
          <w:p w14:paraId="1D75814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6E39D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A5C32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0B90B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E543A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FBA7E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9B12B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D12B15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7525A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045914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3554AF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0F207C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C20A9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66C53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1171D53">
            <w:pPr>
              <w:spacing w:before="0" w:after="0" w:line="240" w:lineRule="exact"/>
              <w:jc w:val="right"/>
              <w:rPr>
                <w:rFonts w:ascii="宋体" w:hAnsi="宋体" w:eastAsia="宋体" w:cs="宋体"/>
                <w:color w:val="auto"/>
                <w:sz w:val="18"/>
                <w:szCs w:val="18"/>
              </w:rPr>
            </w:pPr>
          </w:p>
        </w:tc>
      </w:tr>
      <w:tr w14:paraId="76A193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5A61EB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2．本期使用</w:t>
            </w:r>
          </w:p>
        </w:tc>
        <w:tc>
          <w:tcPr>
            <w:tcW w:w="563" w:type="dxa"/>
            <w:tcBorders>
              <w:top w:val="single" w:color="auto" w:sz="2" w:space="0"/>
              <w:left w:val="single" w:color="auto" w:sz="2" w:space="0"/>
              <w:bottom w:val="single" w:color="auto" w:sz="2" w:space="0"/>
              <w:right w:val="single" w:color="auto" w:sz="2" w:space="0"/>
            </w:tcBorders>
            <w:vAlign w:val="center"/>
          </w:tcPr>
          <w:p w14:paraId="3BB7163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F588A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42A206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250EC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1E138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3E16A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F40DF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606137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D7D93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0EDCC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D12DE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65B29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B72CA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84446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5F0E88D">
            <w:pPr>
              <w:spacing w:before="0" w:after="0" w:line="240" w:lineRule="exact"/>
              <w:jc w:val="right"/>
              <w:rPr>
                <w:rFonts w:ascii="宋体" w:hAnsi="宋体" w:eastAsia="宋体" w:cs="宋体"/>
                <w:color w:val="auto"/>
                <w:sz w:val="18"/>
                <w:szCs w:val="18"/>
              </w:rPr>
            </w:pPr>
          </w:p>
        </w:tc>
      </w:tr>
      <w:tr w14:paraId="247A88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FD087B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（六）其他</w:t>
            </w:r>
          </w:p>
        </w:tc>
        <w:tc>
          <w:tcPr>
            <w:tcW w:w="563" w:type="dxa"/>
            <w:tcBorders>
              <w:top w:val="single" w:color="auto" w:sz="2" w:space="0"/>
              <w:left w:val="single" w:color="auto" w:sz="2" w:space="0"/>
              <w:bottom w:val="single" w:color="auto" w:sz="2" w:space="0"/>
              <w:right w:val="single" w:color="auto" w:sz="2" w:space="0"/>
            </w:tcBorders>
            <w:vAlign w:val="center"/>
          </w:tcPr>
          <w:p w14:paraId="467155D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E1C25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C3F5D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4489DA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03770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-754,716.98</w:t>
            </w:r>
          </w:p>
        </w:tc>
        <w:tc>
          <w:tcPr>
            <w:tcW w:w="563" w:type="dxa"/>
            <w:tcBorders>
              <w:top w:val="single" w:color="auto" w:sz="2" w:space="0"/>
              <w:left w:val="single" w:color="auto" w:sz="2" w:space="0"/>
              <w:bottom w:val="single" w:color="auto" w:sz="2" w:space="0"/>
              <w:right w:val="single" w:color="auto" w:sz="2" w:space="0"/>
            </w:tcBorders>
            <w:vAlign w:val="center"/>
          </w:tcPr>
          <w:p w14:paraId="3D86B7C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DA9BF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1ABB1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606DFE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9FA8D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3CCDA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D3A955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32B0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-754,716.98</w:t>
            </w:r>
          </w:p>
        </w:tc>
        <w:tc>
          <w:tcPr>
            <w:tcW w:w="563" w:type="dxa"/>
            <w:tcBorders>
              <w:top w:val="single" w:color="auto" w:sz="2" w:space="0"/>
              <w:left w:val="single" w:color="auto" w:sz="2" w:space="0"/>
              <w:bottom w:val="single" w:color="auto" w:sz="2" w:space="0"/>
              <w:right w:val="single" w:color="auto" w:sz="2" w:space="0"/>
            </w:tcBorders>
            <w:vAlign w:val="center"/>
          </w:tcPr>
          <w:p w14:paraId="43B88AC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8312DE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-754,716.98</w:t>
            </w:r>
          </w:p>
        </w:tc>
      </w:tr>
      <w:tr w14:paraId="2BDD8A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C07253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四、本期期末余额</w:t>
            </w:r>
          </w:p>
        </w:tc>
        <w:tc>
          <w:tcPr>
            <w:tcW w:w="563" w:type="dxa"/>
            <w:tcBorders>
              <w:top w:val="single" w:color="auto" w:sz="2" w:space="0"/>
              <w:left w:val="single" w:color="auto" w:sz="2" w:space="0"/>
              <w:bottom w:val="single" w:color="auto" w:sz="2" w:space="0"/>
              <w:right w:val="single" w:color="auto" w:sz="2" w:space="0"/>
            </w:tcBorders>
            <w:vAlign w:val="center"/>
          </w:tcPr>
          <w:p w14:paraId="6800E0B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563" w:type="dxa"/>
            <w:tcBorders>
              <w:top w:val="single" w:color="auto" w:sz="2" w:space="0"/>
              <w:left w:val="single" w:color="auto" w:sz="2" w:space="0"/>
              <w:bottom w:val="single" w:color="auto" w:sz="2" w:space="0"/>
              <w:right w:val="single" w:color="auto" w:sz="2" w:space="0"/>
            </w:tcBorders>
            <w:vAlign w:val="center"/>
          </w:tcPr>
          <w:p w14:paraId="3EE2DEC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7E0C6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81172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33DC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607,171,177.50</w:t>
            </w:r>
          </w:p>
        </w:tc>
        <w:tc>
          <w:tcPr>
            <w:tcW w:w="563" w:type="dxa"/>
            <w:tcBorders>
              <w:top w:val="single" w:color="auto" w:sz="2" w:space="0"/>
              <w:left w:val="single" w:color="auto" w:sz="2" w:space="0"/>
              <w:bottom w:val="single" w:color="auto" w:sz="2" w:space="0"/>
              <w:right w:val="single" w:color="auto" w:sz="2" w:space="0"/>
            </w:tcBorders>
            <w:vAlign w:val="center"/>
          </w:tcPr>
          <w:p w14:paraId="6EEEDC2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B026BB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C15D19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98D00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563" w:type="dxa"/>
            <w:tcBorders>
              <w:top w:val="single" w:color="auto" w:sz="2" w:space="0"/>
              <w:left w:val="single" w:color="auto" w:sz="2" w:space="0"/>
              <w:bottom w:val="single" w:color="auto" w:sz="2" w:space="0"/>
              <w:right w:val="single" w:color="auto" w:sz="2" w:space="0"/>
            </w:tcBorders>
            <w:vAlign w:val="center"/>
          </w:tcPr>
          <w:p w14:paraId="79C883C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5F3823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-518,096,016.46</w:t>
            </w:r>
          </w:p>
        </w:tc>
        <w:tc>
          <w:tcPr>
            <w:tcW w:w="563" w:type="dxa"/>
            <w:tcBorders>
              <w:top w:val="single" w:color="auto" w:sz="2" w:space="0"/>
              <w:left w:val="single" w:color="auto" w:sz="2" w:space="0"/>
              <w:bottom w:val="single" w:color="auto" w:sz="2" w:space="0"/>
              <w:right w:val="single" w:color="auto" w:sz="2" w:space="0"/>
            </w:tcBorders>
            <w:vAlign w:val="center"/>
          </w:tcPr>
          <w:p w14:paraId="590B629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C2B1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292,735,994.35</w:t>
            </w:r>
          </w:p>
        </w:tc>
        <w:tc>
          <w:tcPr>
            <w:tcW w:w="563" w:type="dxa"/>
            <w:tcBorders>
              <w:top w:val="single" w:color="auto" w:sz="2" w:space="0"/>
              <w:left w:val="single" w:color="auto" w:sz="2" w:space="0"/>
              <w:bottom w:val="single" w:color="auto" w:sz="2" w:space="0"/>
              <w:right w:val="single" w:color="auto" w:sz="2" w:space="0"/>
            </w:tcBorders>
            <w:vAlign w:val="center"/>
          </w:tcPr>
          <w:p w14:paraId="53C392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32,879,936.39</w:t>
            </w:r>
          </w:p>
        </w:tc>
        <w:tc>
          <w:tcPr>
            <w:tcW w:w="563" w:type="dxa"/>
            <w:tcBorders>
              <w:top w:val="single" w:color="auto" w:sz="2" w:space="0"/>
              <w:left w:val="single" w:color="auto" w:sz="2" w:space="0"/>
              <w:bottom w:val="single" w:color="auto" w:sz="2" w:space="0"/>
              <w:right w:val="single" w:color="auto" w:sz="2" w:space="0"/>
            </w:tcBorders>
            <w:vAlign w:val="center"/>
          </w:tcPr>
          <w:p w14:paraId="0853B8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325,615,930.74</w:t>
            </w:r>
          </w:p>
        </w:tc>
      </w:tr>
    </w:tbl>
    <w:p w14:paraId="4E4ACDB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上年金额</w:t>
      </w:r>
    </w:p>
    <w:p w14:paraId="7059E283">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0"/>
        <w:gridCol w:w="563"/>
        <w:gridCol w:w="563"/>
        <w:gridCol w:w="563"/>
        <w:gridCol w:w="563"/>
        <w:gridCol w:w="563"/>
        <w:gridCol w:w="563"/>
        <w:gridCol w:w="563"/>
        <w:gridCol w:w="563"/>
        <w:gridCol w:w="563"/>
        <w:gridCol w:w="563"/>
        <w:gridCol w:w="563"/>
        <w:gridCol w:w="563"/>
        <w:gridCol w:w="563"/>
        <w:gridCol w:w="563"/>
        <w:gridCol w:w="563"/>
      </w:tblGrid>
      <w:tr w14:paraId="4F1FC9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A667AA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8439" w:type="dxa"/>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217C365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2024年半年度</w:t>
            </w:r>
          </w:p>
        </w:tc>
      </w:tr>
      <w:tr w14:paraId="5B8A8E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8471F29">
            <w:pPr>
              <w:rPr>
                <w:color w:val="auto"/>
              </w:rPr>
            </w:pPr>
          </w:p>
        </w:tc>
        <w:tc>
          <w:tcPr>
            <w:tcW w:w="7314"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75E2C2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归属于母公司所有者权益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E31432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少数股东权益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E907DB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所有者权益合计</w:t>
            </w:r>
          </w:p>
        </w:tc>
      </w:tr>
      <w:tr w14:paraId="15B2E6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AD381EE">
            <w:pPr>
              <w:rPr>
                <w:color w:val="auto"/>
              </w:rPr>
            </w:pP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AB883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股本</w:t>
            </w:r>
          </w:p>
        </w:tc>
        <w:tc>
          <w:tcPr>
            <w:tcW w:w="1688"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4A064E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其他权益工具</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8F51FD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资本公积</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092670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减：库存股</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9F4B4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其他综合收益</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FC71CA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专项储备</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7C2689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盈余公积</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173D51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一般风险准备</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5F6A43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未分配利润</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88907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56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23A0A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小计</w:t>
            </w: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8F0CA49">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A5F34A3">
            <w:pPr>
              <w:rPr>
                <w:color w:val="auto"/>
              </w:rPr>
            </w:pPr>
          </w:p>
        </w:tc>
      </w:tr>
      <w:tr w14:paraId="144FDD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AB188FC">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FCA8AB6">
            <w:pPr>
              <w:rPr>
                <w:color w:val="auto"/>
              </w:rPr>
            </w:pPr>
          </w:p>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5EEBE38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优先股</w:t>
            </w:r>
          </w:p>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12C518A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永续债</w:t>
            </w:r>
          </w:p>
        </w:tc>
        <w:tc>
          <w:tcPr>
            <w:tcW w:w="563" w:type="dxa"/>
            <w:tcBorders>
              <w:top w:val="single" w:color="auto" w:sz="2" w:space="0"/>
              <w:left w:val="single" w:color="auto" w:sz="2" w:space="0"/>
              <w:bottom w:val="single" w:color="auto" w:sz="2" w:space="0"/>
              <w:right w:val="single" w:color="auto" w:sz="2" w:space="0"/>
            </w:tcBorders>
            <w:shd w:val="clear" w:color="auto" w:fill="D3D3D3"/>
            <w:vAlign w:val="center"/>
          </w:tcPr>
          <w:p w14:paraId="25418E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E5DC227">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22ECE6">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A6DDBD7">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vAlign w:val="center"/>
          </w:tcPr>
          <w:p w14:paraId="4D87C986">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D5FD3EB">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7B4182F">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54DD6C">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vAlign w:val="center"/>
          </w:tcPr>
          <w:p w14:paraId="096C8D51">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vAlign w:val="center"/>
          </w:tcPr>
          <w:p w14:paraId="5BE9F88F">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CAD183">
            <w:pPr>
              <w:rPr>
                <w:color w:val="auto"/>
              </w:rPr>
            </w:pPr>
          </w:p>
        </w:tc>
        <w:tc>
          <w:tcPr>
            <w:tcW w:w="56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18EE23C">
            <w:pPr>
              <w:rPr>
                <w:color w:val="auto"/>
              </w:rPr>
            </w:pPr>
          </w:p>
        </w:tc>
      </w:tr>
      <w:tr w14:paraId="38D9B1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42DC68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一、上年年末余额</w:t>
            </w:r>
          </w:p>
        </w:tc>
        <w:tc>
          <w:tcPr>
            <w:tcW w:w="563" w:type="dxa"/>
            <w:tcBorders>
              <w:top w:val="single" w:color="auto" w:sz="2" w:space="0"/>
              <w:left w:val="single" w:color="auto" w:sz="2" w:space="0"/>
              <w:bottom w:val="single" w:color="auto" w:sz="2" w:space="0"/>
              <w:right w:val="single" w:color="auto" w:sz="2" w:space="0"/>
            </w:tcBorders>
            <w:vAlign w:val="center"/>
          </w:tcPr>
          <w:p w14:paraId="018F66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563" w:type="dxa"/>
            <w:tcBorders>
              <w:top w:val="single" w:color="auto" w:sz="2" w:space="0"/>
              <w:left w:val="single" w:color="auto" w:sz="2" w:space="0"/>
              <w:bottom w:val="single" w:color="auto" w:sz="2" w:space="0"/>
              <w:right w:val="single" w:color="auto" w:sz="2" w:space="0"/>
            </w:tcBorders>
            <w:vAlign w:val="center"/>
          </w:tcPr>
          <w:p w14:paraId="2EFEBFC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3C640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27C4B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342B6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607,925,894.48</w:t>
            </w:r>
          </w:p>
        </w:tc>
        <w:tc>
          <w:tcPr>
            <w:tcW w:w="563" w:type="dxa"/>
            <w:tcBorders>
              <w:top w:val="single" w:color="auto" w:sz="2" w:space="0"/>
              <w:left w:val="single" w:color="auto" w:sz="2" w:space="0"/>
              <w:bottom w:val="single" w:color="auto" w:sz="2" w:space="0"/>
              <w:right w:val="single" w:color="auto" w:sz="2" w:space="0"/>
            </w:tcBorders>
            <w:vAlign w:val="center"/>
          </w:tcPr>
          <w:p w14:paraId="300CA7B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98A88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6714D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FEF289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563" w:type="dxa"/>
            <w:tcBorders>
              <w:top w:val="single" w:color="auto" w:sz="2" w:space="0"/>
              <w:left w:val="single" w:color="auto" w:sz="2" w:space="0"/>
              <w:bottom w:val="single" w:color="auto" w:sz="2" w:space="0"/>
              <w:right w:val="single" w:color="auto" w:sz="2" w:space="0"/>
            </w:tcBorders>
            <w:vAlign w:val="center"/>
          </w:tcPr>
          <w:p w14:paraId="17C727F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5410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-295,103,547.33</w:t>
            </w:r>
          </w:p>
        </w:tc>
        <w:tc>
          <w:tcPr>
            <w:tcW w:w="563" w:type="dxa"/>
            <w:tcBorders>
              <w:top w:val="single" w:color="auto" w:sz="2" w:space="0"/>
              <w:left w:val="single" w:color="auto" w:sz="2" w:space="0"/>
              <w:bottom w:val="single" w:color="auto" w:sz="2" w:space="0"/>
              <w:right w:val="single" w:color="auto" w:sz="2" w:space="0"/>
            </w:tcBorders>
            <w:vAlign w:val="center"/>
          </w:tcPr>
          <w:p w14:paraId="1DD0290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34AE8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516,483,180.46</w:t>
            </w:r>
          </w:p>
        </w:tc>
        <w:tc>
          <w:tcPr>
            <w:tcW w:w="563" w:type="dxa"/>
            <w:tcBorders>
              <w:top w:val="single" w:color="auto" w:sz="2" w:space="0"/>
              <w:left w:val="single" w:color="auto" w:sz="2" w:space="0"/>
              <w:bottom w:val="single" w:color="auto" w:sz="2" w:space="0"/>
              <w:right w:val="single" w:color="auto" w:sz="2" w:space="0"/>
            </w:tcBorders>
            <w:vAlign w:val="center"/>
          </w:tcPr>
          <w:p w14:paraId="03CF95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52,761,779.01</w:t>
            </w:r>
          </w:p>
        </w:tc>
        <w:tc>
          <w:tcPr>
            <w:tcW w:w="563" w:type="dxa"/>
            <w:tcBorders>
              <w:top w:val="single" w:color="auto" w:sz="2" w:space="0"/>
              <w:left w:val="single" w:color="auto" w:sz="2" w:space="0"/>
              <w:bottom w:val="single" w:color="auto" w:sz="2" w:space="0"/>
              <w:right w:val="single" w:color="auto" w:sz="2" w:space="0"/>
            </w:tcBorders>
            <w:vAlign w:val="center"/>
          </w:tcPr>
          <w:p w14:paraId="4D8DFD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569,244,959.47</w:t>
            </w:r>
          </w:p>
        </w:tc>
      </w:tr>
      <w:tr w14:paraId="0563A0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70C94BB">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加：会计政策变更</w:t>
            </w:r>
          </w:p>
        </w:tc>
        <w:tc>
          <w:tcPr>
            <w:tcW w:w="563" w:type="dxa"/>
            <w:tcBorders>
              <w:top w:val="single" w:color="auto" w:sz="2" w:space="0"/>
              <w:left w:val="single" w:color="auto" w:sz="2" w:space="0"/>
              <w:bottom w:val="single" w:color="auto" w:sz="2" w:space="0"/>
              <w:right w:val="single" w:color="auto" w:sz="2" w:space="0"/>
            </w:tcBorders>
            <w:vAlign w:val="center"/>
          </w:tcPr>
          <w:p w14:paraId="3E06ED2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A1594E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77F6D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2D89C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DEED1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3B8EC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7D0CE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EF3709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B109E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FF6C5B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D2CA88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CE9EE0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490C5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B44CE1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22A2B0B">
            <w:pPr>
              <w:spacing w:before="0" w:after="0" w:line="240" w:lineRule="exact"/>
              <w:jc w:val="right"/>
              <w:rPr>
                <w:rFonts w:ascii="宋体" w:hAnsi="宋体" w:eastAsia="宋体" w:cs="宋体"/>
                <w:color w:val="auto"/>
                <w:sz w:val="18"/>
                <w:szCs w:val="18"/>
              </w:rPr>
            </w:pPr>
          </w:p>
        </w:tc>
      </w:tr>
      <w:tr w14:paraId="6F3001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E6BF8C4">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前期差错更正</w:t>
            </w:r>
          </w:p>
        </w:tc>
        <w:tc>
          <w:tcPr>
            <w:tcW w:w="563" w:type="dxa"/>
            <w:tcBorders>
              <w:top w:val="single" w:color="auto" w:sz="2" w:space="0"/>
              <w:left w:val="single" w:color="auto" w:sz="2" w:space="0"/>
              <w:bottom w:val="single" w:color="auto" w:sz="2" w:space="0"/>
              <w:right w:val="single" w:color="auto" w:sz="2" w:space="0"/>
            </w:tcBorders>
            <w:vAlign w:val="center"/>
          </w:tcPr>
          <w:p w14:paraId="66790B6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31011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660877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A34538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35EFD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0BDDC3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CFAF1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75B12B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2A425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8EAE0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74B81B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1D398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2D729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111805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6B65E2">
            <w:pPr>
              <w:spacing w:before="0" w:after="0" w:line="240" w:lineRule="exact"/>
              <w:jc w:val="right"/>
              <w:rPr>
                <w:rFonts w:ascii="宋体" w:hAnsi="宋体" w:eastAsia="宋体" w:cs="宋体"/>
                <w:color w:val="auto"/>
                <w:sz w:val="18"/>
                <w:szCs w:val="18"/>
              </w:rPr>
            </w:pPr>
          </w:p>
        </w:tc>
      </w:tr>
      <w:tr w14:paraId="5BC8D9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F3795A6">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563" w:type="dxa"/>
            <w:tcBorders>
              <w:top w:val="single" w:color="auto" w:sz="2" w:space="0"/>
              <w:left w:val="single" w:color="auto" w:sz="2" w:space="0"/>
              <w:bottom w:val="single" w:color="auto" w:sz="2" w:space="0"/>
              <w:right w:val="single" w:color="auto" w:sz="2" w:space="0"/>
            </w:tcBorders>
            <w:vAlign w:val="center"/>
          </w:tcPr>
          <w:p w14:paraId="0EDC5E9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846E9E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EF17C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A7226A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C91A3F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71C68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EED05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1553C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9B0F1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58165C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2A6CD4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40635D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02E0C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4F726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80AA49C">
            <w:pPr>
              <w:spacing w:before="0" w:after="0" w:line="240" w:lineRule="exact"/>
              <w:jc w:val="right"/>
              <w:rPr>
                <w:rFonts w:ascii="宋体" w:hAnsi="宋体" w:eastAsia="宋体" w:cs="宋体"/>
                <w:color w:val="auto"/>
                <w:sz w:val="18"/>
                <w:szCs w:val="18"/>
              </w:rPr>
            </w:pPr>
          </w:p>
        </w:tc>
      </w:tr>
      <w:tr w14:paraId="5A692F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D3A0DE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二、本年期初余额</w:t>
            </w:r>
          </w:p>
        </w:tc>
        <w:tc>
          <w:tcPr>
            <w:tcW w:w="563" w:type="dxa"/>
            <w:tcBorders>
              <w:top w:val="single" w:color="auto" w:sz="2" w:space="0"/>
              <w:left w:val="single" w:color="auto" w:sz="2" w:space="0"/>
              <w:bottom w:val="single" w:color="auto" w:sz="2" w:space="0"/>
              <w:right w:val="single" w:color="auto" w:sz="2" w:space="0"/>
            </w:tcBorders>
            <w:vAlign w:val="center"/>
          </w:tcPr>
          <w:p w14:paraId="4EC26B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563" w:type="dxa"/>
            <w:tcBorders>
              <w:top w:val="single" w:color="auto" w:sz="2" w:space="0"/>
              <w:left w:val="single" w:color="auto" w:sz="2" w:space="0"/>
              <w:bottom w:val="single" w:color="auto" w:sz="2" w:space="0"/>
              <w:right w:val="single" w:color="auto" w:sz="2" w:space="0"/>
            </w:tcBorders>
            <w:vAlign w:val="center"/>
          </w:tcPr>
          <w:p w14:paraId="2BF144B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43CD89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8F9A1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73875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607,925,894.48</w:t>
            </w:r>
          </w:p>
        </w:tc>
        <w:tc>
          <w:tcPr>
            <w:tcW w:w="563" w:type="dxa"/>
            <w:tcBorders>
              <w:top w:val="single" w:color="auto" w:sz="2" w:space="0"/>
              <w:left w:val="single" w:color="auto" w:sz="2" w:space="0"/>
              <w:bottom w:val="single" w:color="auto" w:sz="2" w:space="0"/>
              <w:right w:val="single" w:color="auto" w:sz="2" w:space="0"/>
            </w:tcBorders>
            <w:vAlign w:val="center"/>
          </w:tcPr>
          <w:p w14:paraId="1C01EA9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DF7B3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4339B7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2032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563" w:type="dxa"/>
            <w:tcBorders>
              <w:top w:val="single" w:color="auto" w:sz="2" w:space="0"/>
              <w:left w:val="single" w:color="auto" w:sz="2" w:space="0"/>
              <w:bottom w:val="single" w:color="auto" w:sz="2" w:space="0"/>
              <w:right w:val="single" w:color="auto" w:sz="2" w:space="0"/>
            </w:tcBorders>
            <w:vAlign w:val="center"/>
          </w:tcPr>
          <w:p w14:paraId="6BFDB9D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78FE4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-295,103,547.33</w:t>
            </w:r>
          </w:p>
        </w:tc>
        <w:tc>
          <w:tcPr>
            <w:tcW w:w="563" w:type="dxa"/>
            <w:tcBorders>
              <w:top w:val="single" w:color="auto" w:sz="2" w:space="0"/>
              <w:left w:val="single" w:color="auto" w:sz="2" w:space="0"/>
              <w:bottom w:val="single" w:color="auto" w:sz="2" w:space="0"/>
              <w:right w:val="single" w:color="auto" w:sz="2" w:space="0"/>
            </w:tcBorders>
            <w:vAlign w:val="center"/>
          </w:tcPr>
          <w:p w14:paraId="45E1F85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6FF2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516,483,180.46</w:t>
            </w:r>
          </w:p>
        </w:tc>
        <w:tc>
          <w:tcPr>
            <w:tcW w:w="563" w:type="dxa"/>
            <w:tcBorders>
              <w:top w:val="single" w:color="auto" w:sz="2" w:space="0"/>
              <w:left w:val="single" w:color="auto" w:sz="2" w:space="0"/>
              <w:bottom w:val="single" w:color="auto" w:sz="2" w:space="0"/>
              <w:right w:val="single" w:color="auto" w:sz="2" w:space="0"/>
            </w:tcBorders>
            <w:vAlign w:val="center"/>
          </w:tcPr>
          <w:p w14:paraId="76722B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52,761,779.01</w:t>
            </w:r>
          </w:p>
        </w:tc>
        <w:tc>
          <w:tcPr>
            <w:tcW w:w="563" w:type="dxa"/>
            <w:tcBorders>
              <w:top w:val="single" w:color="auto" w:sz="2" w:space="0"/>
              <w:left w:val="single" w:color="auto" w:sz="2" w:space="0"/>
              <w:bottom w:val="single" w:color="auto" w:sz="2" w:space="0"/>
              <w:right w:val="single" w:color="auto" w:sz="2" w:space="0"/>
            </w:tcBorders>
            <w:vAlign w:val="center"/>
          </w:tcPr>
          <w:p w14:paraId="13E2D48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569,244,959.47</w:t>
            </w:r>
          </w:p>
        </w:tc>
      </w:tr>
      <w:tr w14:paraId="5640AA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DEB3BE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三、本期增减变动金额（减少以“－”号填列）</w:t>
            </w:r>
          </w:p>
        </w:tc>
        <w:tc>
          <w:tcPr>
            <w:tcW w:w="563" w:type="dxa"/>
            <w:tcBorders>
              <w:top w:val="single" w:color="auto" w:sz="2" w:space="0"/>
              <w:left w:val="single" w:color="auto" w:sz="2" w:space="0"/>
              <w:bottom w:val="single" w:color="auto" w:sz="2" w:space="0"/>
              <w:right w:val="single" w:color="auto" w:sz="2" w:space="0"/>
            </w:tcBorders>
            <w:vAlign w:val="center"/>
          </w:tcPr>
          <w:p w14:paraId="2FCBE7E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20136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7FBEF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88678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FD426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FD87B2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042D8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546B4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93373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79A40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4BAA1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-36,037,775.88</w:t>
            </w:r>
          </w:p>
        </w:tc>
        <w:tc>
          <w:tcPr>
            <w:tcW w:w="563" w:type="dxa"/>
            <w:tcBorders>
              <w:top w:val="single" w:color="auto" w:sz="2" w:space="0"/>
              <w:left w:val="single" w:color="auto" w:sz="2" w:space="0"/>
              <w:bottom w:val="single" w:color="auto" w:sz="2" w:space="0"/>
              <w:right w:val="single" w:color="auto" w:sz="2" w:space="0"/>
            </w:tcBorders>
            <w:vAlign w:val="center"/>
          </w:tcPr>
          <w:p w14:paraId="5C65B56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4F5D9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-36,037,775.88</w:t>
            </w:r>
          </w:p>
        </w:tc>
        <w:tc>
          <w:tcPr>
            <w:tcW w:w="563" w:type="dxa"/>
            <w:tcBorders>
              <w:top w:val="single" w:color="auto" w:sz="2" w:space="0"/>
              <w:left w:val="single" w:color="auto" w:sz="2" w:space="0"/>
              <w:bottom w:val="single" w:color="auto" w:sz="2" w:space="0"/>
              <w:right w:val="single" w:color="auto" w:sz="2" w:space="0"/>
            </w:tcBorders>
            <w:vAlign w:val="center"/>
          </w:tcPr>
          <w:p w14:paraId="12609C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-83,202.86</w:t>
            </w:r>
          </w:p>
        </w:tc>
        <w:tc>
          <w:tcPr>
            <w:tcW w:w="563" w:type="dxa"/>
            <w:tcBorders>
              <w:top w:val="single" w:color="auto" w:sz="2" w:space="0"/>
              <w:left w:val="single" w:color="auto" w:sz="2" w:space="0"/>
              <w:bottom w:val="single" w:color="auto" w:sz="2" w:space="0"/>
              <w:right w:val="single" w:color="auto" w:sz="2" w:space="0"/>
            </w:tcBorders>
            <w:vAlign w:val="center"/>
          </w:tcPr>
          <w:p w14:paraId="1A38083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-36,120,978.74</w:t>
            </w:r>
          </w:p>
        </w:tc>
      </w:tr>
      <w:tr w14:paraId="7013E8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0EFCCD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（一）综合收益总额</w:t>
            </w:r>
          </w:p>
        </w:tc>
        <w:tc>
          <w:tcPr>
            <w:tcW w:w="563" w:type="dxa"/>
            <w:tcBorders>
              <w:top w:val="single" w:color="auto" w:sz="2" w:space="0"/>
              <w:left w:val="single" w:color="auto" w:sz="2" w:space="0"/>
              <w:bottom w:val="single" w:color="auto" w:sz="2" w:space="0"/>
              <w:right w:val="single" w:color="auto" w:sz="2" w:space="0"/>
            </w:tcBorders>
            <w:vAlign w:val="center"/>
          </w:tcPr>
          <w:p w14:paraId="20BD2C7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9BD40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BA69F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A8CF2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BB4E3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B00EF7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28BA80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7603F7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2EC10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181A6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004F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-36,037,775.88</w:t>
            </w:r>
          </w:p>
        </w:tc>
        <w:tc>
          <w:tcPr>
            <w:tcW w:w="563" w:type="dxa"/>
            <w:tcBorders>
              <w:top w:val="single" w:color="auto" w:sz="2" w:space="0"/>
              <w:left w:val="single" w:color="auto" w:sz="2" w:space="0"/>
              <w:bottom w:val="single" w:color="auto" w:sz="2" w:space="0"/>
              <w:right w:val="single" w:color="auto" w:sz="2" w:space="0"/>
            </w:tcBorders>
            <w:vAlign w:val="center"/>
          </w:tcPr>
          <w:p w14:paraId="74726EE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83107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-36,037,775.88</w:t>
            </w:r>
          </w:p>
        </w:tc>
        <w:tc>
          <w:tcPr>
            <w:tcW w:w="563" w:type="dxa"/>
            <w:tcBorders>
              <w:top w:val="single" w:color="auto" w:sz="2" w:space="0"/>
              <w:left w:val="single" w:color="auto" w:sz="2" w:space="0"/>
              <w:bottom w:val="single" w:color="auto" w:sz="2" w:space="0"/>
              <w:right w:val="single" w:color="auto" w:sz="2" w:space="0"/>
            </w:tcBorders>
            <w:vAlign w:val="center"/>
          </w:tcPr>
          <w:p w14:paraId="0D872A9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-83,202.86</w:t>
            </w:r>
          </w:p>
        </w:tc>
        <w:tc>
          <w:tcPr>
            <w:tcW w:w="563" w:type="dxa"/>
            <w:tcBorders>
              <w:top w:val="single" w:color="auto" w:sz="2" w:space="0"/>
              <w:left w:val="single" w:color="auto" w:sz="2" w:space="0"/>
              <w:bottom w:val="single" w:color="auto" w:sz="2" w:space="0"/>
              <w:right w:val="single" w:color="auto" w:sz="2" w:space="0"/>
            </w:tcBorders>
            <w:vAlign w:val="center"/>
          </w:tcPr>
          <w:p w14:paraId="3D3344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-36,120,978.74</w:t>
            </w:r>
          </w:p>
        </w:tc>
      </w:tr>
      <w:tr w14:paraId="00085F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311AE8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（二）所有者投入和减少资本</w:t>
            </w:r>
          </w:p>
        </w:tc>
        <w:tc>
          <w:tcPr>
            <w:tcW w:w="563" w:type="dxa"/>
            <w:tcBorders>
              <w:top w:val="single" w:color="auto" w:sz="2" w:space="0"/>
              <w:left w:val="single" w:color="auto" w:sz="2" w:space="0"/>
              <w:bottom w:val="single" w:color="auto" w:sz="2" w:space="0"/>
              <w:right w:val="single" w:color="auto" w:sz="2" w:space="0"/>
            </w:tcBorders>
            <w:vAlign w:val="center"/>
          </w:tcPr>
          <w:p w14:paraId="4405E28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0D075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B4586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235744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94A5F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ED6B0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3011F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07541B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97D33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7A9FC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F4C64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09BED9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8C006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3785C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F5A1975">
            <w:pPr>
              <w:spacing w:before="0" w:after="0" w:line="240" w:lineRule="exact"/>
              <w:jc w:val="right"/>
              <w:rPr>
                <w:rFonts w:ascii="宋体" w:hAnsi="宋体" w:eastAsia="宋体" w:cs="宋体"/>
                <w:color w:val="auto"/>
                <w:sz w:val="18"/>
                <w:szCs w:val="18"/>
              </w:rPr>
            </w:pPr>
          </w:p>
        </w:tc>
      </w:tr>
      <w:tr w14:paraId="0B02AB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DD3046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1．所有者投入的普通股</w:t>
            </w:r>
          </w:p>
        </w:tc>
        <w:tc>
          <w:tcPr>
            <w:tcW w:w="563" w:type="dxa"/>
            <w:tcBorders>
              <w:top w:val="single" w:color="auto" w:sz="2" w:space="0"/>
              <w:left w:val="single" w:color="auto" w:sz="2" w:space="0"/>
              <w:bottom w:val="single" w:color="auto" w:sz="2" w:space="0"/>
              <w:right w:val="single" w:color="auto" w:sz="2" w:space="0"/>
            </w:tcBorders>
            <w:vAlign w:val="center"/>
          </w:tcPr>
          <w:p w14:paraId="0892C2A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36676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C0E63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EC7049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45B6BA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F4C73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8A9896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00593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ECFBC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A7F64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4BDCF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08B6A8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BC03F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D98F7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F40028">
            <w:pPr>
              <w:spacing w:before="0" w:after="0" w:line="240" w:lineRule="exact"/>
              <w:jc w:val="right"/>
              <w:rPr>
                <w:rFonts w:ascii="宋体" w:hAnsi="宋体" w:eastAsia="宋体" w:cs="宋体"/>
                <w:color w:val="auto"/>
                <w:sz w:val="18"/>
                <w:szCs w:val="18"/>
              </w:rPr>
            </w:pPr>
          </w:p>
        </w:tc>
      </w:tr>
      <w:tr w14:paraId="208F3A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8477C9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2．其他权益工具持有者投入资本</w:t>
            </w:r>
          </w:p>
        </w:tc>
        <w:tc>
          <w:tcPr>
            <w:tcW w:w="563" w:type="dxa"/>
            <w:tcBorders>
              <w:top w:val="single" w:color="auto" w:sz="2" w:space="0"/>
              <w:left w:val="single" w:color="auto" w:sz="2" w:space="0"/>
              <w:bottom w:val="single" w:color="auto" w:sz="2" w:space="0"/>
              <w:right w:val="single" w:color="auto" w:sz="2" w:space="0"/>
            </w:tcBorders>
            <w:vAlign w:val="center"/>
          </w:tcPr>
          <w:p w14:paraId="0D0AFE7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5F16D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B71CB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EA45FE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665763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68940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52AA9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B49E6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1D110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38BC6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2A4CD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C4C68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8A132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86669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9397FAD">
            <w:pPr>
              <w:spacing w:before="0" w:after="0" w:line="240" w:lineRule="exact"/>
              <w:jc w:val="right"/>
              <w:rPr>
                <w:rFonts w:ascii="宋体" w:hAnsi="宋体" w:eastAsia="宋体" w:cs="宋体"/>
                <w:color w:val="auto"/>
                <w:sz w:val="18"/>
                <w:szCs w:val="18"/>
              </w:rPr>
            </w:pPr>
          </w:p>
        </w:tc>
      </w:tr>
      <w:tr w14:paraId="5A6A90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C90132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3．股份支付计入所有者权益的金额</w:t>
            </w:r>
          </w:p>
        </w:tc>
        <w:tc>
          <w:tcPr>
            <w:tcW w:w="563" w:type="dxa"/>
            <w:tcBorders>
              <w:top w:val="single" w:color="auto" w:sz="2" w:space="0"/>
              <w:left w:val="single" w:color="auto" w:sz="2" w:space="0"/>
              <w:bottom w:val="single" w:color="auto" w:sz="2" w:space="0"/>
              <w:right w:val="single" w:color="auto" w:sz="2" w:space="0"/>
            </w:tcBorders>
            <w:vAlign w:val="center"/>
          </w:tcPr>
          <w:p w14:paraId="33CC18B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D0B4D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CBBD6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83658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8403F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38BC1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E4D70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99839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FCB360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F94B1F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5BE76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9C09A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3F2FC1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3DD79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D440576">
            <w:pPr>
              <w:spacing w:before="0" w:after="0" w:line="240" w:lineRule="exact"/>
              <w:jc w:val="right"/>
              <w:rPr>
                <w:rFonts w:ascii="宋体" w:hAnsi="宋体" w:eastAsia="宋体" w:cs="宋体"/>
                <w:color w:val="auto"/>
                <w:sz w:val="18"/>
                <w:szCs w:val="18"/>
              </w:rPr>
            </w:pPr>
          </w:p>
        </w:tc>
      </w:tr>
      <w:tr w14:paraId="578821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D7108A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4．其他</w:t>
            </w:r>
          </w:p>
        </w:tc>
        <w:tc>
          <w:tcPr>
            <w:tcW w:w="563" w:type="dxa"/>
            <w:tcBorders>
              <w:top w:val="single" w:color="auto" w:sz="2" w:space="0"/>
              <w:left w:val="single" w:color="auto" w:sz="2" w:space="0"/>
              <w:bottom w:val="single" w:color="auto" w:sz="2" w:space="0"/>
              <w:right w:val="single" w:color="auto" w:sz="2" w:space="0"/>
            </w:tcBorders>
            <w:vAlign w:val="center"/>
          </w:tcPr>
          <w:p w14:paraId="02E7727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32AEB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10838C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EE1A5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AB068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4318B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B59BFB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68896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3C432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2521C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24A93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96398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F48B02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4E05B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BA040F">
            <w:pPr>
              <w:spacing w:before="0" w:after="0" w:line="240" w:lineRule="exact"/>
              <w:jc w:val="right"/>
              <w:rPr>
                <w:rFonts w:ascii="宋体" w:hAnsi="宋体" w:eastAsia="宋体" w:cs="宋体"/>
                <w:color w:val="auto"/>
                <w:sz w:val="18"/>
                <w:szCs w:val="18"/>
              </w:rPr>
            </w:pPr>
          </w:p>
        </w:tc>
      </w:tr>
      <w:tr w14:paraId="496043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4091CD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（三）利润分配</w:t>
            </w:r>
          </w:p>
        </w:tc>
        <w:tc>
          <w:tcPr>
            <w:tcW w:w="563" w:type="dxa"/>
            <w:tcBorders>
              <w:top w:val="single" w:color="auto" w:sz="2" w:space="0"/>
              <w:left w:val="single" w:color="auto" w:sz="2" w:space="0"/>
              <w:bottom w:val="single" w:color="auto" w:sz="2" w:space="0"/>
              <w:right w:val="single" w:color="auto" w:sz="2" w:space="0"/>
            </w:tcBorders>
            <w:vAlign w:val="center"/>
          </w:tcPr>
          <w:p w14:paraId="1D04D54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F765F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F87849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A0E4D3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8FF81B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22926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D5FB3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26B66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2AF7D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F23752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C33C2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4317FB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CF952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5796F3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D8502A">
            <w:pPr>
              <w:spacing w:before="0" w:after="0" w:line="240" w:lineRule="exact"/>
              <w:jc w:val="right"/>
              <w:rPr>
                <w:rFonts w:ascii="宋体" w:hAnsi="宋体" w:eastAsia="宋体" w:cs="宋体"/>
                <w:color w:val="auto"/>
                <w:sz w:val="18"/>
                <w:szCs w:val="18"/>
              </w:rPr>
            </w:pPr>
          </w:p>
        </w:tc>
      </w:tr>
      <w:tr w14:paraId="72D3D7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2F51E9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1．提取盈余公积</w:t>
            </w:r>
          </w:p>
        </w:tc>
        <w:tc>
          <w:tcPr>
            <w:tcW w:w="563" w:type="dxa"/>
            <w:tcBorders>
              <w:top w:val="single" w:color="auto" w:sz="2" w:space="0"/>
              <w:left w:val="single" w:color="auto" w:sz="2" w:space="0"/>
              <w:bottom w:val="single" w:color="auto" w:sz="2" w:space="0"/>
              <w:right w:val="single" w:color="auto" w:sz="2" w:space="0"/>
            </w:tcBorders>
            <w:vAlign w:val="center"/>
          </w:tcPr>
          <w:p w14:paraId="7234849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2A38B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DE0D5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34E099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34C8C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64766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D551B8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7D2FE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FBF7F9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4A641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7AE41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F07E1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3BE60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0F4128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6DDB6C3">
            <w:pPr>
              <w:spacing w:before="0" w:after="0" w:line="240" w:lineRule="exact"/>
              <w:jc w:val="right"/>
              <w:rPr>
                <w:rFonts w:ascii="宋体" w:hAnsi="宋体" w:eastAsia="宋体" w:cs="宋体"/>
                <w:color w:val="auto"/>
                <w:sz w:val="18"/>
                <w:szCs w:val="18"/>
              </w:rPr>
            </w:pPr>
          </w:p>
        </w:tc>
      </w:tr>
      <w:tr w14:paraId="0B449A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2A59D2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2．提取一般风险准备</w:t>
            </w:r>
          </w:p>
        </w:tc>
        <w:tc>
          <w:tcPr>
            <w:tcW w:w="563" w:type="dxa"/>
            <w:tcBorders>
              <w:top w:val="single" w:color="auto" w:sz="2" w:space="0"/>
              <w:left w:val="single" w:color="auto" w:sz="2" w:space="0"/>
              <w:bottom w:val="single" w:color="auto" w:sz="2" w:space="0"/>
              <w:right w:val="single" w:color="auto" w:sz="2" w:space="0"/>
            </w:tcBorders>
            <w:vAlign w:val="center"/>
          </w:tcPr>
          <w:p w14:paraId="367DCA9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BE30E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21775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973B7E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E16B3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65FDC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07046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B9422C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FED331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A981E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7079A4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3C098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9C8A2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B93066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205321">
            <w:pPr>
              <w:spacing w:before="0" w:after="0" w:line="240" w:lineRule="exact"/>
              <w:jc w:val="right"/>
              <w:rPr>
                <w:rFonts w:ascii="宋体" w:hAnsi="宋体" w:eastAsia="宋体" w:cs="宋体"/>
                <w:color w:val="auto"/>
                <w:sz w:val="18"/>
                <w:szCs w:val="18"/>
              </w:rPr>
            </w:pPr>
          </w:p>
        </w:tc>
      </w:tr>
      <w:tr w14:paraId="2BFC37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0535B2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3．对所有者（或股东）的分配</w:t>
            </w:r>
          </w:p>
        </w:tc>
        <w:tc>
          <w:tcPr>
            <w:tcW w:w="563" w:type="dxa"/>
            <w:tcBorders>
              <w:top w:val="single" w:color="auto" w:sz="2" w:space="0"/>
              <w:left w:val="single" w:color="auto" w:sz="2" w:space="0"/>
              <w:bottom w:val="single" w:color="auto" w:sz="2" w:space="0"/>
              <w:right w:val="single" w:color="auto" w:sz="2" w:space="0"/>
            </w:tcBorders>
            <w:vAlign w:val="center"/>
          </w:tcPr>
          <w:p w14:paraId="18B7EAE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6C3B5B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D4A65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C3DCF1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C587B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56945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0B1B4C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79DAB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CF7C6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C0382B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2E3F2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D381F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23C998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94DD5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3B1AC1">
            <w:pPr>
              <w:spacing w:before="0" w:after="0" w:line="240" w:lineRule="exact"/>
              <w:jc w:val="right"/>
              <w:rPr>
                <w:rFonts w:ascii="宋体" w:hAnsi="宋体" w:eastAsia="宋体" w:cs="宋体"/>
                <w:color w:val="auto"/>
                <w:sz w:val="18"/>
                <w:szCs w:val="18"/>
              </w:rPr>
            </w:pPr>
          </w:p>
        </w:tc>
      </w:tr>
      <w:tr w14:paraId="23177D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D1684F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4．其他</w:t>
            </w:r>
          </w:p>
        </w:tc>
        <w:tc>
          <w:tcPr>
            <w:tcW w:w="563" w:type="dxa"/>
            <w:tcBorders>
              <w:top w:val="single" w:color="auto" w:sz="2" w:space="0"/>
              <w:left w:val="single" w:color="auto" w:sz="2" w:space="0"/>
              <w:bottom w:val="single" w:color="auto" w:sz="2" w:space="0"/>
              <w:right w:val="single" w:color="auto" w:sz="2" w:space="0"/>
            </w:tcBorders>
            <w:vAlign w:val="center"/>
          </w:tcPr>
          <w:p w14:paraId="074AD7D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47842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60DDBF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3DCD5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65088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F9954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ECF12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22B81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A83F21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BD553B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62B33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6872AD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B623A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AC136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AF9375">
            <w:pPr>
              <w:spacing w:before="0" w:after="0" w:line="240" w:lineRule="exact"/>
              <w:jc w:val="right"/>
              <w:rPr>
                <w:rFonts w:ascii="宋体" w:hAnsi="宋体" w:eastAsia="宋体" w:cs="宋体"/>
                <w:color w:val="auto"/>
                <w:sz w:val="18"/>
                <w:szCs w:val="18"/>
              </w:rPr>
            </w:pPr>
          </w:p>
        </w:tc>
      </w:tr>
      <w:tr w14:paraId="381D27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B66078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（四）所有者权益内部结转</w:t>
            </w:r>
          </w:p>
        </w:tc>
        <w:tc>
          <w:tcPr>
            <w:tcW w:w="563" w:type="dxa"/>
            <w:tcBorders>
              <w:top w:val="single" w:color="auto" w:sz="2" w:space="0"/>
              <w:left w:val="single" w:color="auto" w:sz="2" w:space="0"/>
              <w:bottom w:val="single" w:color="auto" w:sz="2" w:space="0"/>
              <w:right w:val="single" w:color="auto" w:sz="2" w:space="0"/>
            </w:tcBorders>
            <w:vAlign w:val="center"/>
          </w:tcPr>
          <w:p w14:paraId="35D76DB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F6148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2D9906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DEBC8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9DD466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7937E1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E1D68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307324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A00ACF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63052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237F24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C096E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F9FCF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F6EC1D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C90EEB7">
            <w:pPr>
              <w:spacing w:before="0" w:after="0" w:line="240" w:lineRule="exact"/>
              <w:jc w:val="right"/>
              <w:rPr>
                <w:rFonts w:ascii="宋体" w:hAnsi="宋体" w:eastAsia="宋体" w:cs="宋体"/>
                <w:color w:val="auto"/>
                <w:sz w:val="18"/>
                <w:szCs w:val="18"/>
              </w:rPr>
            </w:pPr>
          </w:p>
        </w:tc>
      </w:tr>
      <w:tr w14:paraId="40CAA5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EC79BF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1．资本公积转增资本（或股本）</w:t>
            </w:r>
          </w:p>
        </w:tc>
        <w:tc>
          <w:tcPr>
            <w:tcW w:w="563" w:type="dxa"/>
            <w:tcBorders>
              <w:top w:val="single" w:color="auto" w:sz="2" w:space="0"/>
              <w:left w:val="single" w:color="auto" w:sz="2" w:space="0"/>
              <w:bottom w:val="single" w:color="auto" w:sz="2" w:space="0"/>
              <w:right w:val="single" w:color="auto" w:sz="2" w:space="0"/>
            </w:tcBorders>
            <w:vAlign w:val="center"/>
          </w:tcPr>
          <w:p w14:paraId="42C9785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A5A04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58087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CF6E5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6D7895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BC15B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2B0211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1BFCD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5F79A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9D0A19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146C1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60AE04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5928A5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7ED517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088E635">
            <w:pPr>
              <w:spacing w:before="0" w:after="0" w:line="240" w:lineRule="exact"/>
              <w:jc w:val="right"/>
              <w:rPr>
                <w:rFonts w:ascii="宋体" w:hAnsi="宋体" w:eastAsia="宋体" w:cs="宋体"/>
                <w:color w:val="auto"/>
                <w:sz w:val="18"/>
                <w:szCs w:val="18"/>
              </w:rPr>
            </w:pPr>
          </w:p>
        </w:tc>
      </w:tr>
      <w:tr w14:paraId="0A777B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461881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2．盈余公积转增资本（或股本）</w:t>
            </w:r>
          </w:p>
        </w:tc>
        <w:tc>
          <w:tcPr>
            <w:tcW w:w="563" w:type="dxa"/>
            <w:tcBorders>
              <w:top w:val="single" w:color="auto" w:sz="2" w:space="0"/>
              <w:left w:val="single" w:color="auto" w:sz="2" w:space="0"/>
              <w:bottom w:val="single" w:color="auto" w:sz="2" w:space="0"/>
              <w:right w:val="single" w:color="auto" w:sz="2" w:space="0"/>
            </w:tcBorders>
            <w:vAlign w:val="center"/>
          </w:tcPr>
          <w:p w14:paraId="04C63FF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E77420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EC3819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562A8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0B8B8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70B56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60C923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C4E5F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7D39D8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A6996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074FB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DAF27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0D790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54D92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A57D8A7">
            <w:pPr>
              <w:spacing w:before="0" w:after="0" w:line="240" w:lineRule="exact"/>
              <w:jc w:val="right"/>
              <w:rPr>
                <w:rFonts w:ascii="宋体" w:hAnsi="宋体" w:eastAsia="宋体" w:cs="宋体"/>
                <w:color w:val="auto"/>
                <w:sz w:val="18"/>
                <w:szCs w:val="18"/>
              </w:rPr>
            </w:pPr>
          </w:p>
        </w:tc>
      </w:tr>
      <w:tr w14:paraId="1AF72C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7785EE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3．盈余公积弥补亏损</w:t>
            </w:r>
          </w:p>
        </w:tc>
        <w:tc>
          <w:tcPr>
            <w:tcW w:w="563" w:type="dxa"/>
            <w:tcBorders>
              <w:top w:val="single" w:color="auto" w:sz="2" w:space="0"/>
              <w:left w:val="single" w:color="auto" w:sz="2" w:space="0"/>
              <w:bottom w:val="single" w:color="auto" w:sz="2" w:space="0"/>
              <w:right w:val="single" w:color="auto" w:sz="2" w:space="0"/>
            </w:tcBorders>
            <w:vAlign w:val="center"/>
          </w:tcPr>
          <w:p w14:paraId="14869B2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D243B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CC75C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CEF905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43E0C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24381B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ABB71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C17833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A7EFB6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80BBC0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3A21C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3EBB9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6C62BC0">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7CD031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E28817">
            <w:pPr>
              <w:spacing w:before="0" w:after="0" w:line="240" w:lineRule="exact"/>
              <w:jc w:val="right"/>
              <w:rPr>
                <w:rFonts w:ascii="宋体" w:hAnsi="宋体" w:eastAsia="宋体" w:cs="宋体"/>
                <w:color w:val="auto"/>
                <w:sz w:val="18"/>
                <w:szCs w:val="18"/>
              </w:rPr>
            </w:pPr>
          </w:p>
        </w:tc>
      </w:tr>
      <w:tr w14:paraId="29BCF9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C15C20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4．设定受益计划变动额结转留存收益</w:t>
            </w:r>
          </w:p>
        </w:tc>
        <w:tc>
          <w:tcPr>
            <w:tcW w:w="563" w:type="dxa"/>
            <w:tcBorders>
              <w:top w:val="single" w:color="auto" w:sz="2" w:space="0"/>
              <w:left w:val="single" w:color="auto" w:sz="2" w:space="0"/>
              <w:bottom w:val="single" w:color="auto" w:sz="2" w:space="0"/>
              <w:right w:val="single" w:color="auto" w:sz="2" w:space="0"/>
            </w:tcBorders>
            <w:vAlign w:val="center"/>
          </w:tcPr>
          <w:p w14:paraId="10FED5A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9AE75E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3724F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85A4C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4A228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F950F2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015977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BA00D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DD3055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6BA48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D0A695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EDF099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A8AE40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E48208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AE125D">
            <w:pPr>
              <w:spacing w:before="0" w:after="0" w:line="240" w:lineRule="exact"/>
              <w:jc w:val="right"/>
              <w:rPr>
                <w:rFonts w:ascii="宋体" w:hAnsi="宋体" w:eastAsia="宋体" w:cs="宋体"/>
                <w:color w:val="auto"/>
                <w:sz w:val="18"/>
                <w:szCs w:val="18"/>
              </w:rPr>
            </w:pPr>
          </w:p>
        </w:tc>
      </w:tr>
      <w:tr w14:paraId="3EFB05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59EA9E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5．其他综合收益结转留存收益</w:t>
            </w:r>
          </w:p>
        </w:tc>
        <w:tc>
          <w:tcPr>
            <w:tcW w:w="563" w:type="dxa"/>
            <w:tcBorders>
              <w:top w:val="single" w:color="auto" w:sz="2" w:space="0"/>
              <w:left w:val="single" w:color="auto" w:sz="2" w:space="0"/>
              <w:bottom w:val="single" w:color="auto" w:sz="2" w:space="0"/>
              <w:right w:val="single" w:color="auto" w:sz="2" w:space="0"/>
            </w:tcBorders>
            <w:vAlign w:val="center"/>
          </w:tcPr>
          <w:p w14:paraId="6BBD6F3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3F6EC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82FFC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321A7B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452CBC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6E6AA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B8923A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EEA69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35D268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98BF7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51B9F5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08FED1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E27815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4D12F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A324C0A">
            <w:pPr>
              <w:spacing w:before="0" w:after="0" w:line="240" w:lineRule="exact"/>
              <w:jc w:val="right"/>
              <w:rPr>
                <w:rFonts w:ascii="宋体" w:hAnsi="宋体" w:eastAsia="宋体" w:cs="宋体"/>
                <w:color w:val="auto"/>
                <w:sz w:val="18"/>
                <w:szCs w:val="18"/>
              </w:rPr>
            </w:pPr>
          </w:p>
        </w:tc>
      </w:tr>
      <w:tr w14:paraId="106026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21B3A8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6．其他</w:t>
            </w:r>
          </w:p>
        </w:tc>
        <w:tc>
          <w:tcPr>
            <w:tcW w:w="563" w:type="dxa"/>
            <w:tcBorders>
              <w:top w:val="single" w:color="auto" w:sz="2" w:space="0"/>
              <w:left w:val="single" w:color="auto" w:sz="2" w:space="0"/>
              <w:bottom w:val="single" w:color="auto" w:sz="2" w:space="0"/>
              <w:right w:val="single" w:color="auto" w:sz="2" w:space="0"/>
            </w:tcBorders>
            <w:vAlign w:val="center"/>
          </w:tcPr>
          <w:p w14:paraId="5777901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D58A97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9747B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52ECA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E13D3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3B1E112">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9A2210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9DF7F5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79643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C62F4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17EF59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29171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64DCB2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4C7640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65CB9DC">
            <w:pPr>
              <w:spacing w:before="0" w:after="0" w:line="240" w:lineRule="exact"/>
              <w:jc w:val="right"/>
              <w:rPr>
                <w:rFonts w:ascii="宋体" w:hAnsi="宋体" w:eastAsia="宋体" w:cs="宋体"/>
                <w:color w:val="auto"/>
                <w:sz w:val="18"/>
                <w:szCs w:val="18"/>
              </w:rPr>
            </w:pPr>
          </w:p>
        </w:tc>
      </w:tr>
      <w:tr w14:paraId="5D6C22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643B6A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（五）专项储备</w:t>
            </w:r>
          </w:p>
        </w:tc>
        <w:tc>
          <w:tcPr>
            <w:tcW w:w="563" w:type="dxa"/>
            <w:tcBorders>
              <w:top w:val="single" w:color="auto" w:sz="2" w:space="0"/>
              <w:left w:val="single" w:color="auto" w:sz="2" w:space="0"/>
              <w:bottom w:val="single" w:color="auto" w:sz="2" w:space="0"/>
              <w:right w:val="single" w:color="auto" w:sz="2" w:space="0"/>
            </w:tcBorders>
            <w:vAlign w:val="center"/>
          </w:tcPr>
          <w:p w14:paraId="65240E0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C0B198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F65DBE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594027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6E8F8E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5FA76D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626959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E1A0E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5955B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2FC2FFD">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06441F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795753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9AFB8A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5A1D1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4614389">
            <w:pPr>
              <w:spacing w:before="0" w:after="0" w:line="240" w:lineRule="exact"/>
              <w:jc w:val="right"/>
              <w:rPr>
                <w:rFonts w:ascii="宋体" w:hAnsi="宋体" w:eastAsia="宋体" w:cs="宋体"/>
                <w:color w:val="auto"/>
                <w:sz w:val="18"/>
                <w:szCs w:val="18"/>
              </w:rPr>
            </w:pPr>
          </w:p>
        </w:tc>
      </w:tr>
      <w:tr w14:paraId="7AF553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C276E6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1．本期提取</w:t>
            </w:r>
          </w:p>
        </w:tc>
        <w:tc>
          <w:tcPr>
            <w:tcW w:w="563" w:type="dxa"/>
            <w:tcBorders>
              <w:top w:val="single" w:color="auto" w:sz="2" w:space="0"/>
              <w:left w:val="single" w:color="auto" w:sz="2" w:space="0"/>
              <w:bottom w:val="single" w:color="auto" w:sz="2" w:space="0"/>
              <w:right w:val="single" w:color="auto" w:sz="2" w:space="0"/>
            </w:tcBorders>
            <w:vAlign w:val="center"/>
          </w:tcPr>
          <w:p w14:paraId="74EE3A0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4882A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BFAC6F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46172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F2D10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2171E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4E7239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AC038E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DDD5EF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1106A9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581BB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D3F574">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6A5A89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7FF5C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9F83366">
            <w:pPr>
              <w:spacing w:before="0" w:after="0" w:line="240" w:lineRule="exact"/>
              <w:jc w:val="right"/>
              <w:rPr>
                <w:rFonts w:ascii="宋体" w:hAnsi="宋体" w:eastAsia="宋体" w:cs="宋体"/>
                <w:color w:val="auto"/>
                <w:sz w:val="18"/>
                <w:szCs w:val="18"/>
              </w:rPr>
            </w:pPr>
          </w:p>
        </w:tc>
      </w:tr>
      <w:tr w14:paraId="095E59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1508FD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2．本期使用</w:t>
            </w:r>
          </w:p>
        </w:tc>
        <w:tc>
          <w:tcPr>
            <w:tcW w:w="563" w:type="dxa"/>
            <w:tcBorders>
              <w:top w:val="single" w:color="auto" w:sz="2" w:space="0"/>
              <w:left w:val="single" w:color="auto" w:sz="2" w:space="0"/>
              <w:bottom w:val="single" w:color="auto" w:sz="2" w:space="0"/>
              <w:right w:val="single" w:color="auto" w:sz="2" w:space="0"/>
            </w:tcBorders>
            <w:vAlign w:val="center"/>
          </w:tcPr>
          <w:p w14:paraId="5070817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BD3F89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537CAF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809454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1787EA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29ED4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6502B2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0BB1D8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7F6818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AA147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A4BD9B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0B028D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EE21AD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41DEF36">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B3252F5">
            <w:pPr>
              <w:spacing w:before="0" w:after="0" w:line="240" w:lineRule="exact"/>
              <w:jc w:val="right"/>
              <w:rPr>
                <w:rFonts w:ascii="宋体" w:hAnsi="宋体" w:eastAsia="宋体" w:cs="宋体"/>
                <w:color w:val="auto"/>
                <w:sz w:val="18"/>
                <w:szCs w:val="18"/>
              </w:rPr>
            </w:pPr>
          </w:p>
        </w:tc>
      </w:tr>
      <w:tr w14:paraId="4AE9A7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DF7F0C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（六）其他</w:t>
            </w:r>
          </w:p>
        </w:tc>
        <w:tc>
          <w:tcPr>
            <w:tcW w:w="563" w:type="dxa"/>
            <w:tcBorders>
              <w:top w:val="single" w:color="auto" w:sz="2" w:space="0"/>
              <w:left w:val="single" w:color="auto" w:sz="2" w:space="0"/>
              <w:bottom w:val="single" w:color="auto" w:sz="2" w:space="0"/>
              <w:right w:val="single" w:color="auto" w:sz="2" w:space="0"/>
            </w:tcBorders>
            <w:vAlign w:val="center"/>
          </w:tcPr>
          <w:p w14:paraId="7F3FD3F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4220F13">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CCB556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E73F13E">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8B2545B">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9F85BB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FF0853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67973A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EDF8B1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85A1F3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1D9DE6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370BDA5">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38E9AD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8744129">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D03BCD1">
            <w:pPr>
              <w:spacing w:before="0" w:after="0" w:line="240" w:lineRule="exact"/>
              <w:jc w:val="right"/>
              <w:rPr>
                <w:rFonts w:ascii="宋体" w:hAnsi="宋体" w:eastAsia="宋体" w:cs="宋体"/>
                <w:color w:val="auto"/>
                <w:sz w:val="18"/>
                <w:szCs w:val="18"/>
              </w:rPr>
            </w:pPr>
          </w:p>
        </w:tc>
      </w:tr>
      <w:tr w14:paraId="4E5203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84D655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四、本期期末余额</w:t>
            </w:r>
          </w:p>
        </w:tc>
        <w:tc>
          <w:tcPr>
            <w:tcW w:w="563" w:type="dxa"/>
            <w:tcBorders>
              <w:top w:val="single" w:color="auto" w:sz="2" w:space="0"/>
              <w:left w:val="single" w:color="auto" w:sz="2" w:space="0"/>
              <w:bottom w:val="single" w:color="auto" w:sz="2" w:space="0"/>
              <w:right w:val="single" w:color="auto" w:sz="2" w:space="0"/>
            </w:tcBorders>
            <w:vAlign w:val="center"/>
          </w:tcPr>
          <w:p w14:paraId="430268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563" w:type="dxa"/>
            <w:tcBorders>
              <w:top w:val="single" w:color="auto" w:sz="2" w:space="0"/>
              <w:left w:val="single" w:color="auto" w:sz="2" w:space="0"/>
              <w:bottom w:val="single" w:color="auto" w:sz="2" w:space="0"/>
              <w:right w:val="single" w:color="auto" w:sz="2" w:space="0"/>
            </w:tcBorders>
            <w:vAlign w:val="center"/>
          </w:tcPr>
          <w:p w14:paraId="0A4D392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702F4F48">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35480E5A">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0C7E484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607,925,894.48</w:t>
            </w:r>
          </w:p>
        </w:tc>
        <w:tc>
          <w:tcPr>
            <w:tcW w:w="563" w:type="dxa"/>
            <w:tcBorders>
              <w:top w:val="single" w:color="auto" w:sz="2" w:space="0"/>
              <w:left w:val="single" w:color="auto" w:sz="2" w:space="0"/>
              <w:bottom w:val="single" w:color="auto" w:sz="2" w:space="0"/>
              <w:right w:val="single" w:color="auto" w:sz="2" w:space="0"/>
            </w:tcBorders>
            <w:vAlign w:val="center"/>
          </w:tcPr>
          <w:p w14:paraId="4F40EF0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29B1D6B1">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1A02294C">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62334EA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563" w:type="dxa"/>
            <w:tcBorders>
              <w:top w:val="single" w:color="auto" w:sz="2" w:space="0"/>
              <w:left w:val="single" w:color="auto" w:sz="2" w:space="0"/>
              <w:bottom w:val="single" w:color="auto" w:sz="2" w:space="0"/>
              <w:right w:val="single" w:color="auto" w:sz="2" w:space="0"/>
            </w:tcBorders>
            <w:vAlign w:val="center"/>
          </w:tcPr>
          <w:p w14:paraId="4834718F">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511EC76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-331,141,323.21</w:t>
            </w:r>
          </w:p>
        </w:tc>
        <w:tc>
          <w:tcPr>
            <w:tcW w:w="563" w:type="dxa"/>
            <w:tcBorders>
              <w:top w:val="single" w:color="auto" w:sz="2" w:space="0"/>
              <w:left w:val="single" w:color="auto" w:sz="2" w:space="0"/>
              <w:bottom w:val="single" w:color="auto" w:sz="2" w:space="0"/>
              <w:right w:val="single" w:color="auto" w:sz="2" w:space="0"/>
            </w:tcBorders>
            <w:vAlign w:val="center"/>
          </w:tcPr>
          <w:p w14:paraId="34E9CAA7">
            <w:pPr>
              <w:spacing w:before="0" w:after="0" w:line="240" w:lineRule="exact"/>
              <w:jc w:val="right"/>
              <w:rPr>
                <w:rFonts w:ascii="宋体" w:hAnsi="宋体" w:eastAsia="宋体" w:cs="宋体"/>
                <w:color w:val="auto"/>
                <w:sz w:val="18"/>
                <w:szCs w:val="18"/>
              </w:rPr>
            </w:pPr>
          </w:p>
        </w:tc>
        <w:tc>
          <w:tcPr>
            <w:tcW w:w="563" w:type="dxa"/>
            <w:tcBorders>
              <w:top w:val="single" w:color="auto" w:sz="2" w:space="0"/>
              <w:left w:val="single" w:color="auto" w:sz="2" w:space="0"/>
              <w:bottom w:val="single" w:color="auto" w:sz="2" w:space="0"/>
              <w:right w:val="single" w:color="auto" w:sz="2" w:space="0"/>
            </w:tcBorders>
            <w:vAlign w:val="center"/>
          </w:tcPr>
          <w:p w14:paraId="481E503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480,445,404.58</w:t>
            </w:r>
          </w:p>
        </w:tc>
        <w:tc>
          <w:tcPr>
            <w:tcW w:w="563" w:type="dxa"/>
            <w:tcBorders>
              <w:top w:val="single" w:color="auto" w:sz="2" w:space="0"/>
              <w:left w:val="single" w:color="auto" w:sz="2" w:space="0"/>
              <w:bottom w:val="single" w:color="auto" w:sz="2" w:space="0"/>
              <w:right w:val="single" w:color="auto" w:sz="2" w:space="0"/>
            </w:tcBorders>
            <w:vAlign w:val="center"/>
          </w:tcPr>
          <w:p w14:paraId="775E12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52,678,576.15</w:t>
            </w:r>
          </w:p>
        </w:tc>
        <w:tc>
          <w:tcPr>
            <w:tcW w:w="563" w:type="dxa"/>
            <w:tcBorders>
              <w:top w:val="single" w:color="auto" w:sz="2" w:space="0"/>
              <w:left w:val="single" w:color="auto" w:sz="2" w:space="0"/>
              <w:bottom w:val="single" w:color="auto" w:sz="2" w:space="0"/>
              <w:right w:val="single" w:color="auto" w:sz="2" w:space="0"/>
            </w:tcBorders>
            <w:vAlign w:val="center"/>
          </w:tcPr>
          <w:p w14:paraId="0ECD74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533,123,980.73</w:t>
            </w:r>
          </w:p>
        </w:tc>
      </w:tr>
    </w:tbl>
    <w:p w14:paraId="060F1CF7">
      <w:pPr>
        <w:keepNext/>
        <w:keepLines/>
        <w:spacing w:before="300" w:after="300" w:line="280" w:lineRule="exact"/>
        <w:jc w:val="left"/>
        <w:outlineLvl w:val="2"/>
        <w:rPr>
          <w:rFonts w:ascii="宋体" w:hAnsi="宋体" w:eastAsia="宋体" w:cs="宋体"/>
          <w:b/>
          <w:bCs/>
          <w:color w:val="auto"/>
          <w:sz w:val="21"/>
          <w:szCs w:val="21"/>
        </w:rPr>
      </w:pPr>
      <w:bookmarkStart w:id="10" w:name="_Toc988986"/>
      <w:r>
        <w:rPr>
          <w:rFonts w:ascii="宋体" w:hAnsi="宋体" w:eastAsia="宋体" w:cs="宋体"/>
          <w:b/>
          <w:bCs/>
          <w:color w:val="auto"/>
          <w:sz w:val="21"/>
          <w:szCs w:val="21"/>
        </w:rPr>
        <w:t>8、母公司所有者权益变动表</w:t>
      </w:r>
      <w:bookmarkEnd w:id="10"/>
    </w:p>
    <w:p w14:paraId="1E30168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本期金额</w:t>
      </w:r>
    </w:p>
    <w:p w14:paraId="16E9A0DA">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0"/>
        <w:gridCol w:w="703"/>
        <w:gridCol w:w="703"/>
        <w:gridCol w:w="703"/>
        <w:gridCol w:w="703"/>
        <w:gridCol w:w="703"/>
        <w:gridCol w:w="703"/>
        <w:gridCol w:w="703"/>
        <w:gridCol w:w="703"/>
        <w:gridCol w:w="703"/>
        <w:gridCol w:w="703"/>
        <w:gridCol w:w="703"/>
        <w:gridCol w:w="703"/>
      </w:tblGrid>
      <w:tr w14:paraId="41CCEF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9F036C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8439" w:type="dxa"/>
            <w:gridSpan w:val="12"/>
            <w:tcBorders>
              <w:top w:val="single" w:color="auto" w:sz="2" w:space="0"/>
              <w:left w:val="single" w:color="auto" w:sz="2" w:space="0"/>
              <w:bottom w:val="single" w:color="auto" w:sz="2" w:space="0"/>
              <w:right w:val="single" w:color="auto" w:sz="2" w:space="0"/>
            </w:tcBorders>
            <w:shd w:val="clear" w:color="auto" w:fill="D3D3D3"/>
            <w:vAlign w:val="center"/>
          </w:tcPr>
          <w:p w14:paraId="53AD770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2025年半年度</w:t>
            </w:r>
          </w:p>
        </w:tc>
      </w:tr>
      <w:tr w14:paraId="77914D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5FF52CE">
            <w:pPr>
              <w:rPr>
                <w:color w:val="auto"/>
              </w:rPr>
            </w:pP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A823B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股本</w:t>
            </w:r>
          </w:p>
        </w:tc>
        <w:tc>
          <w:tcPr>
            <w:tcW w:w="2110"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10F883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其他权益工具</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4DE6FE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资本公积</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7D6937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减：库存股</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341EA3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其他综合收益</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07A02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专项储备</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4AAE7F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盈余公积</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9ED89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未分配利润</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B17768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CCEE98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所有者权益合计</w:t>
            </w:r>
          </w:p>
        </w:tc>
      </w:tr>
      <w:tr w14:paraId="148B16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3ACF5D1">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74D170">
            <w:pPr>
              <w:rPr>
                <w:color w:val="auto"/>
              </w:rPr>
            </w:pPr>
          </w:p>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45191EA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优先股</w:t>
            </w:r>
          </w:p>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738BE8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永续债</w:t>
            </w:r>
          </w:p>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039FFD9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12F8E5">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B9C9F5">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72670D7">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vAlign w:val="center"/>
          </w:tcPr>
          <w:p w14:paraId="0E746247">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5924A2E">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2FCE529">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vAlign w:val="center"/>
          </w:tcPr>
          <w:p w14:paraId="3707E5F5">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B8DB8E4">
            <w:pPr>
              <w:rPr>
                <w:color w:val="auto"/>
              </w:rPr>
            </w:pPr>
          </w:p>
        </w:tc>
      </w:tr>
      <w:tr w14:paraId="2BBD23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5644E9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一、上年年末余额</w:t>
            </w:r>
          </w:p>
        </w:tc>
        <w:tc>
          <w:tcPr>
            <w:tcW w:w="703" w:type="dxa"/>
            <w:tcBorders>
              <w:top w:val="single" w:color="auto" w:sz="2" w:space="0"/>
              <w:left w:val="single" w:color="auto" w:sz="2" w:space="0"/>
              <w:bottom w:val="single" w:color="auto" w:sz="2" w:space="0"/>
              <w:right w:val="single" w:color="auto" w:sz="2" w:space="0"/>
            </w:tcBorders>
            <w:vAlign w:val="center"/>
          </w:tcPr>
          <w:p w14:paraId="3808CFC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703" w:type="dxa"/>
            <w:tcBorders>
              <w:top w:val="single" w:color="auto" w:sz="2" w:space="0"/>
              <w:left w:val="single" w:color="auto" w:sz="2" w:space="0"/>
              <w:bottom w:val="single" w:color="auto" w:sz="2" w:space="0"/>
              <w:right w:val="single" w:color="auto" w:sz="2" w:space="0"/>
            </w:tcBorders>
            <w:vAlign w:val="center"/>
          </w:tcPr>
          <w:p w14:paraId="52AA047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3379F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356A8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88EAB0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675,753,512.82</w:t>
            </w:r>
          </w:p>
        </w:tc>
        <w:tc>
          <w:tcPr>
            <w:tcW w:w="703" w:type="dxa"/>
            <w:tcBorders>
              <w:top w:val="single" w:color="auto" w:sz="2" w:space="0"/>
              <w:left w:val="single" w:color="auto" w:sz="2" w:space="0"/>
              <w:bottom w:val="single" w:color="auto" w:sz="2" w:space="0"/>
              <w:right w:val="single" w:color="auto" w:sz="2" w:space="0"/>
            </w:tcBorders>
            <w:vAlign w:val="center"/>
          </w:tcPr>
          <w:p w14:paraId="2107E09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BFB07B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D924A1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CA13C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703" w:type="dxa"/>
            <w:tcBorders>
              <w:top w:val="single" w:color="auto" w:sz="2" w:space="0"/>
              <w:left w:val="single" w:color="auto" w:sz="2" w:space="0"/>
              <w:bottom w:val="single" w:color="auto" w:sz="2" w:space="0"/>
              <w:right w:val="single" w:color="auto" w:sz="2" w:space="0"/>
            </w:tcBorders>
            <w:vAlign w:val="center"/>
          </w:tcPr>
          <w:p w14:paraId="564B9A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182,440,457.06</w:t>
            </w:r>
          </w:p>
        </w:tc>
        <w:tc>
          <w:tcPr>
            <w:tcW w:w="703" w:type="dxa"/>
            <w:tcBorders>
              <w:top w:val="single" w:color="auto" w:sz="2" w:space="0"/>
              <w:left w:val="single" w:color="auto" w:sz="2" w:space="0"/>
              <w:bottom w:val="single" w:color="auto" w:sz="2" w:space="0"/>
              <w:right w:val="single" w:color="auto" w:sz="2" w:space="0"/>
            </w:tcBorders>
            <w:vAlign w:val="center"/>
          </w:tcPr>
          <w:p w14:paraId="1038865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DF2D5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1,061,854,803.19</w:t>
            </w:r>
          </w:p>
        </w:tc>
      </w:tr>
      <w:tr w14:paraId="6E430E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C799111">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加：会计政策变更</w:t>
            </w:r>
          </w:p>
        </w:tc>
        <w:tc>
          <w:tcPr>
            <w:tcW w:w="703" w:type="dxa"/>
            <w:tcBorders>
              <w:top w:val="single" w:color="auto" w:sz="2" w:space="0"/>
              <w:left w:val="single" w:color="auto" w:sz="2" w:space="0"/>
              <w:bottom w:val="single" w:color="auto" w:sz="2" w:space="0"/>
              <w:right w:val="single" w:color="auto" w:sz="2" w:space="0"/>
            </w:tcBorders>
            <w:vAlign w:val="center"/>
          </w:tcPr>
          <w:p w14:paraId="3DA127F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7AA47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598283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7E6E8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EEC4B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A73D7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46A7B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062274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0630F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5A5FD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2E25C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7077580">
            <w:pPr>
              <w:spacing w:before="0" w:after="0" w:line="240" w:lineRule="exact"/>
              <w:jc w:val="right"/>
              <w:rPr>
                <w:rFonts w:ascii="宋体" w:hAnsi="宋体" w:eastAsia="宋体" w:cs="宋体"/>
                <w:color w:val="auto"/>
                <w:sz w:val="18"/>
                <w:szCs w:val="18"/>
              </w:rPr>
            </w:pPr>
          </w:p>
        </w:tc>
      </w:tr>
      <w:tr w14:paraId="55F90E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BE14F44">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前期差错更正</w:t>
            </w:r>
          </w:p>
        </w:tc>
        <w:tc>
          <w:tcPr>
            <w:tcW w:w="703" w:type="dxa"/>
            <w:tcBorders>
              <w:top w:val="single" w:color="auto" w:sz="2" w:space="0"/>
              <w:left w:val="single" w:color="auto" w:sz="2" w:space="0"/>
              <w:bottom w:val="single" w:color="auto" w:sz="2" w:space="0"/>
              <w:right w:val="single" w:color="auto" w:sz="2" w:space="0"/>
            </w:tcBorders>
            <w:vAlign w:val="center"/>
          </w:tcPr>
          <w:p w14:paraId="25109FA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74034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23A99D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94920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5CC4B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16EBB3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4AE40B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71F876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EC97E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82C5A1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5941A8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EACEE11">
            <w:pPr>
              <w:spacing w:before="0" w:after="0" w:line="240" w:lineRule="exact"/>
              <w:jc w:val="right"/>
              <w:rPr>
                <w:rFonts w:ascii="宋体" w:hAnsi="宋体" w:eastAsia="宋体" w:cs="宋体"/>
                <w:color w:val="auto"/>
                <w:sz w:val="18"/>
                <w:szCs w:val="18"/>
              </w:rPr>
            </w:pPr>
          </w:p>
        </w:tc>
      </w:tr>
      <w:tr w14:paraId="6FDB74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53DBA92">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703" w:type="dxa"/>
            <w:tcBorders>
              <w:top w:val="single" w:color="auto" w:sz="2" w:space="0"/>
              <w:left w:val="single" w:color="auto" w:sz="2" w:space="0"/>
              <w:bottom w:val="single" w:color="auto" w:sz="2" w:space="0"/>
              <w:right w:val="single" w:color="auto" w:sz="2" w:space="0"/>
            </w:tcBorders>
            <w:vAlign w:val="center"/>
          </w:tcPr>
          <w:p w14:paraId="344B0E9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4B315A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E9D72B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0635CA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66AED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882D0D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ED695F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EF3D3D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986F2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7F181B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3B9456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CDFE338">
            <w:pPr>
              <w:spacing w:before="0" w:after="0" w:line="240" w:lineRule="exact"/>
              <w:jc w:val="right"/>
              <w:rPr>
                <w:rFonts w:ascii="宋体" w:hAnsi="宋体" w:eastAsia="宋体" w:cs="宋体"/>
                <w:color w:val="auto"/>
                <w:sz w:val="18"/>
                <w:szCs w:val="18"/>
              </w:rPr>
            </w:pPr>
          </w:p>
        </w:tc>
      </w:tr>
      <w:tr w14:paraId="195538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A444B9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二、本年期初余额</w:t>
            </w:r>
          </w:p>
        </w:tc>
        <w:tc>
          <w:tcPr>
            <w:tcW w:w="703" w:type="dxa"/>
            <w:tcBorders>
              <w:top w:val="single" w:color="auto" w:sz="2" w:space="0"/>
              <w:left w:val="single" w:color="auto" w:sz="2" w:space="0"/>
              <w:bottom w:val="single" w:color="auto" w:sz="2" w:space="0"/>
              <w:right w:val="single" w:color="auto" w:sz="2" w:space="0"/>
            </w:tcBorders>
            <w:vAlign w:val="center"/>
          </w:tcPr>
          <w:p w14:paraId="23EB3C0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703" w:type="dxa"/>
            <w:tcBorders>
              <w:top w:val="single" w:color="auto" w:sz="2" w:space="0"/>
              <w:left w:val="single" w:color="auto" w:sz="2" w:space="0"/>
              <w:bottom w:val="single" w:color="auto" w:sz="2" w:space="0"/>
              <w:right w:val="single" w:color="auto" w:sz="2" w:space="0"/>
            </w:tcBorders>
            <w:vAlign w:val="center"/>
          </w:tcPr>
          <w:p w14:paraId="047D331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2ECCFC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DF1C7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A752B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675,753,512.82</w:t>
            </w:r>
          </w:p>
        </w:tc>
        <w:tc>
          <w:tcPr>
            <w:tcW w:w="703" w:type="dxa"/>
            <w:tcBorders>
              <w:top w:val="single" w:color="auto" w:sz="2" w:space="0"/>
              <w:left w:val="single" w:color="auto" w:sz="2" w:space="0"/>
              <w:bottom w:val="single" w:color="auto" w:sz="2" w:space="0"/>
              <w:right w:val="single" w:color="auto" w:sz="2" w:space="0"/>
            </w:tcBorders>
            <w:vAlign w:val="center"/>
          </w:tcPr>
          <w:p w14:paraId="7DBBA9F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FEF1C4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2CDBA5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B228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703" w:type="dxa"/>
            <w:tcBorders>
              <w:top w:val="single" w:color="auto" w:sz="2" w:space="0"/>
              <w:left w:val="single" w:color="auto" w:sz="2" w:space="0"/>
              <w:bottom w:val="single" w:color="auto" w:sz="2" w:space="0"/>
              <w:right w:val="single" w:color="auto" w:sz="2" w:space="0"/>
            </w:tcBorders>
            <w:vAlign w:val="center"/>
          </w:tcPr>
          <w:p w14:paraId="19A819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182,440,457.06</w:t>
            </w:r>
          </w:p>
        </w:tc>
        <w:tc>
          <w:tcPr>
            <w:tcW w:w="703" w:type="dxa"/>
            <w:tcBorders>
              <w:top w:val="single" w:color="auto" w:sz="2" w:space="0"/>
              <w:left w:val="single" w:color="auto" w:sz="2" w:space="0"/>
              <w:bottom w:val="single" w:color="auto" w:sz="2" w:space="0"/>
              <w:right w:val="single" w:color="auto" w:sz="2" w:space="0"/>
            </w:tcBorders>
            <w:vAlign w:val="center"/>
          </w:tcPr>
          <w:p w14:paraId="16D0EC5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0A58E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1,061,854,803.19</w:t>
            </w:r>
          </w:p>
        </w:tc>
      </w:tr>
      <w:tr w14:paraId="6021B2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C7222A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三、本期增减变动金额（减少以“－”号填列）</w:t>
            </w:r>
          </w:p>
        </w:tc>
        <w:tc>
          <w:tcPr>
            <w:tcW w:w="703" w:type="dxa"/>
            <w:tcBorders>
              <w:top w:val="single" w:color="auto" w:sz="2" w:space="0"/>
              <w:left w:val="single" w:color="auto" w:sz="2" w:space="0"/>
              <w:bottom w:val="single" w:color="auto" w:sz="2" w:space="0"/>
              <w:right w:val="single" w:color="auto" w:sz="2" w:space="0"/>
            </w:tcBorders>
            <w:vAlign w:val="center"/>
          </w:tcPr>
          <w:p w14:paraId="312F3B0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6DE701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A28AA9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08CE7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17029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-754,716.98</w:t>
            </w:r>
          </w:p>
        </w:tc>
        <w:tc>
          <w:tcPr>
            <w:tcW w:w="703" w:type="dxa"/>
            <w:tcBorders>
              <w:top w:val="single" w:color="auto" w:sz="2" w:space="0"/>
              <w:left w:val="single" w:color="auto" w:sz="2" w:space="0"/>
              <w:bottom w:val="single" w:color="auto" w:sz="2" w:space="0"/>
              <w:right w:val="single" w:color="auto" w:sz="2" w:space="0"/>
            </w:tcBorders>
            <w:vAlign w:val="center"/>
          </w:tcPr>
          <w:p w14:paraId="4E3D40A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DFC43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5D7E08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0907DC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F0301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-32,417,073.16</w:t>
            </w:r>
          </w:p>
        </w:tc>
        <w:tc>
          <w:tcPr>
            <w:tcW w:w="703" w:type="dxa"/>
            <w:tcBorders>
              <w:top w:val="single" w:color="auto" w:sz="2" w:space="0"/>
              <w:left w:val="single" w:color="auto" w:sz="2" w:space="0"/>
              <w:bottom w:val="single" w:color="auto" w:sz="2" w:space="0"/>
              <w:right w:val="single" w:color="auto" w:sz="2" w:space="0"/>
            </w:tcBorders>
            <w:vAlign w:val="center"/>
          </w:tcPr>
          <w:p w14:paraId="4745211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AAFA0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-33,171,790.14</w:t>
            </w:r>
          </w:p>
        </w:tc>
      </w:tr>
      <w:tr w14:paraId="0A1844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3C0BE5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（一）综合收益总额</w:t>
            </w:r>
          </w:p>
        </w:tc>
        <w:tc>
          <w:tcPr>
            <w:tcW w:w="703" w:type="dxa"/>
            <w:tcBorders>
              <w:top w:val="single" w:color="auto" w:sz="2" w:space="0"/>
              <w:left w:val="single" w:color="auto" w:sz="2" w:space="0"/>
              <w:bottom w:val="single" w:color="auto" w:sz="2" w:space="0"/>
              <w:right w:val="single" w:color="auto" w:sz="2" w:space="0"/>
            </w:tcBorders>
            <w:vAlign w:val="center"/>
          </w:tcPr>
          <w:p w14:paraId="26CFDFB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035EF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4B45F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E582F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455D4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E1A8FA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912573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B4AFA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43FD16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CC09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-32,417,073.16</w:t>
            </w:r>
          </w:p>
        </w:tc>
        <w:tc>
          <w:tcPr>
            <w:tcW w:w="703" w:type="dxa"/>
            <w:tcBorders>
              <w:top w:val="single" w:color="auto" w:sz="2" w:space="0"/>
              <w:left w:val="single" w:color="auto" w:sz="2" w:space="0"/>
              <w:bottom w:val="single" w:color="auto" w:sz="2" w:space="0"/>
              <w:right w:val="single" w:color="auto" w:sz="2" w:space="0"/>
            </w:tcBorders>
            <w:vAlign w:val="center"/>
          </w:tcPr>
          <w:p w14:paraId="2DF78B7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68C5C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-32,417,073.16</w:t>
            </w:r>
          </w:p>
        </w:tc>
      </w:tr>
      <w:tr w14:paraId="2D903D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69EE7F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（二）所有者投入和减少资本</w:t>
            </w:r>
          </w:p>
        </w:tc>
        <w:tc>
          <w:tcPr>
            <w:tcW w:w="703" w:type="dxa"/>
            <w:tcBorders>
              <w:top w:val="single" w:color="auto" w:sz="2" w:space="0"/>
              <w:left w:val="single" w:color="auto" w:sz="2" w:space="0"/>
              <w:bottom w:val="single" w:color="auto" w:sz="2" w:space="0"/>
              <w:right w:val="single" w:color="auto" w:sz="2" w:space="0"/>
            </w:tcBorders>
            <w:vAlign w:val="center"/>
          </w:tcPr>
          <w:p w14:paraId="2379546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641820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FC827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E26078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FBC23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30460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38D72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7372A1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F3A09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5713B8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1C33E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83AB3FA">
            <w:pPr>
              <w:spacing w:before="0" w:after="0" w:line="240" w:lineRule="exact"/>
              <w:jc w:val="right"/>
              <w:rPr>
                <w:rFonts w:ascii="宋体" w:hAnsi="宋体" w:eastAsia="宋体" w:cs="宋体"/>
                <w:color w:val="auto"/>
                <w:sz w:val="18"/>
                <w:szCs w:val="18"/>
              </w:rPr>
            </w:pPr>
          </w:p>
        </w:tc>
      </w:tr>
      <w:tr w14:paraId="73DC5C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2B1C99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1．所有者投入的普通股</w:t>
            </w:r>
          </w:p>
        </w:tc>
        <w:tc>
          <w:tcPr>
            <w:tcW w:w="703" w:type="dxa"/>
            <w:tcBorders>
              <w:top w:val="single" w:color="auto" w:sz="2" w:space="0"/>
              <w:left w:val="single" w:color="auto" w:sz="2" w:space="0"/>
              <w:bottom w:val="single" w:color="auto" w:sz="2" w:space="0"/>
              <w:right w:val="single" w:color="auto" w:sz="2" w:space="0"/>
            </w:tcBorders>
            <w:vAlign w:val="center"/>
          </w:tcPr>
          <w:p w14:paraId="693CC16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C38D92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FD375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5C86A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321422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ACF7C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8E18F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A53A6A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DBCD2A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9686D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F2F2F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2845EEB">
            <w:pPr>
              <w:spacing w:before="0" w:after="0" w:line="240" w:lineRule="exact"/>
              <w:jc w:val="right"/>
              <w:rPr>
                <w:rFonts w:ascii="宋体" w:hAnsi="宋体" w:eastAsia="宋体" w:cs="宋体"/>
                <w:color w:val="auto"/>
                <w:sz w:val="18"/>
                <w:szCs w:val="18"/>
              </w:rPr>
            </w:pPr>
          </w:p>
        </w:tc>
      </w:tr>
      <w:tr w14:paraId="14430D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D1F3CC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2．其他权益工具持有者投入资本</w:t>
            </w:r>
          </w:p>
        </w:tc>
        <w:tc>
          <w:tcPr>
            <w:tcW w:w="703" w:type="dxa"/>
            <w:tcBorders>
              <w:top w:val="single" w:color="auto" w:sz="2" w:space="0"/>
              <w:left w:val="single" w:color="auto" w:sz="2" w:space="0"/>
              <w:bottom w:val="single" w:color="auto" w:sz="2" w:space="0"/>
              <w:right w:val="single" w:color="auto" w:sz="2" w:space="0"/>
            </w:tcBorders>
            <w:vAlign w:val="center"/>
          </w:tcPr>
          <w:p w14:paraId="121820C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A46F0F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412C7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219ED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01439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8EA591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DF0DFF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A66708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65CEC6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7BAB7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E3D12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F14D8C1">
            <w:pPr>
              <w:spacing w:before="0" w:after="0" w:line="240" w:lineRule="exact"/>
              <w:jc w:val="right"/>
              <w:rPr>
                <w:rFonts w:ascii="宋体" w:hAnsi="宋体" w:eastAsia="宋体" w:cs="宋体"/>
                <w:color w:val="auto"/>
                <w:sz w:val="18"/>
                <w:szCs w:val="18"/>
              </w:rPr>
            </w:pPr>
          </w:p>
        </w:tc>
      </w:tr>
      <w:tr w14:paraId="5302AA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EDB6FE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3．股份支付计入所有者权益的金额</w:t>
            </w:r>
          </w:p>
        </w:tc>
        <w:tc>
          <w:tcPr>
            <w:tcW w:w="703" w:type="dxa"/>
            <w:tcBorders>
              <w:top w:val="single" w:color="auto" w:sz="2" w:space="0"/>
              <w:left w:val="single" w:color="auto" w:sz="2" w:space="0"/>
              <w:bottom w:val="single" w:color="auto" w:sz="2" w:space="0"/>
              <w:right w:val="single" w:color="auto" w:sz="2" w:space="0"/>
            </w:tcBorders>
            <w:vAlign w:val="center"/>
          </w:tcPr>
          <w:p w14:paraId="012CC05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5132F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300EEC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852BEC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CDC6DC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D422F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076FD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65F5CB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7E925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EC138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41834D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D4BC0B">
            <w:pPr>
              <w:spacing w:before="0" w:after="0" w:line="240" w:lineRule="exact"/>
              <w:jc w:val="right"/>
              <w:rPr>
                <w:rFonts w:ascii="宋体" w:hAnsi="宋体" w:eastAsia="宋体" w:cs="宋体"/>
                <w:color w:val="auto"/>
                <w:sz w:val="18"/>
                <w:szCs w:val="18"/>
              </w:rPr>
            </w:pPr>
          </w:p>
        </w:tc>
      </w:tr>
      <w:tr w14:paraId="21829F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7A2311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4．其他</w:t>
            </w:r>
          </w:p>
        </w:tc>
        <w:tc>
          <w:tcPr>
            <w:tcW w:w="703" w:type="dxa"/>
            <w:tcBorders>
              <w:top w:val="single" w:color="auto" w:sz="2" w:space="0"/>
              <w:left w:val="single" w:color="auto" w:sz="2" w:space="0"/>
              <w:bottom w:val="single" w:color="auto" w:sz="2" w:space="0"/>
              <w:right w:val="single" w:color="auto" w:sz="2" w:space="0"/>
            </w:tcBorders>
            <w:vAlign w:val="center"/>
          </w:tcPr>
          <w:p w14:paraId="1B2CEC2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846DD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7D75B5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EA5C1C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E02EEB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22C21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7953B3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306978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61A58D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FDDC32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529444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15B2D93">
            <w:pPr>
              <w:spacing w:before="0" w:after="0" w:line="240" w:lineRule="exact"/>
              <w:jc w:val="right"/>
              <w:rPr>
                <w:rFonts w:ascii="宋体" w:hAnsi="宋体" w:eastAsia="宋体" w:cs="宋体"/>
                <w:color w:val="auto"/>
                <w:sz w:val="18"/>
                <w:szCs w:val="18"/>
              </w:rPr>
            </w:pPr>
          </w:p>
        </w:tc>
      </w:tr>
      <w:tr w14:paraId="69657E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9D903F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（三）利润分配</w:t>
            </w:r>
          </w:p>
        </w:tc>
        <w:tc>
          <w:tcPr>
            <w:tcW w:w="703" w:type="dxa"/>
            <w:tcBorders>
              <w:top w:val="single" w:color="auto" w:sz="2" w:space="0"/>
              <w:left w:val="single" w:color="auto" w:sz="2" w:space="0"/>
              <w:bottom w:val="single" w:color="auto" w:sz="2" w:space="0"/>
              <w:right w:val="single" w:color="auto" w:sz="2" w:space="0"/>
            </w:tcBorders>
            <w:vAlign w:val="center"/>
          </w:tcPr>
          <w:p w14:paraId="48A96D4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71998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94271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11B07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1A3DD4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C034F7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B208EC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02A554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27A6B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67C14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A37D31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476704">
            <w:pPr>
              <w:spacing w:before="0" w:after="0" w:line="240" w:lineRule="exact"/>
              <w:jc w:val="right"/>
              <w:rPr>
                <w:rFonts w:ascii="宋体" w:hAnsi="宋体" w:eastAsia="宋体" w:cs="宋体"/>
                <w:color w:val="auto"/>
                <w:sz w:val="18"/>
                <w:szCs w:val="18"/>
              </w:rPr>
            </w:pPr>
          </w:p>
        </w:tc>
      </w:tr>
      <w:tr w14:paraId="4B897D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610F77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1．提取盈余公积</w:t>
            </w:r>
          </w:p>
        </w:tc>
        <w:tc>
          <w:tcPr>
            <w:tcW w:w="703" w:type="dxa"/>
            <w:tcBorders>
              <w:top w:val="single" w:color="auto" w:sz="2" w:space="0"/>
              <w:left w:val="single" w:color="auto" w:sz="2" w:space="0"/>
              <w:bottom w:val="single" w:color="auto" w:sz="2" w:space="0"/>
              <w:right w:val="single" w:color="auto" w:sz="2" w:space="0"/>
            </w:tcBorders>
            <w:vAlign w:val="center"/>
          </w:tcPr>
          <w:p w14:paraId="45ED2D0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602FA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200EA9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0E928D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11B2A3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8DD552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07276C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126C7B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8B9E5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BE3D2F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0A2F77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E65A51A">
            <w:pPr>
              <w:spacing w:before="0" w:after="0" w:line="240" w:lineRule="exact"/>
              <w:jc w:val="right"/>
              <w:rPr>
                <w:rFonts w:ascii="宋体" w:hAnsi="宋体" w:eastAsia="宋体" w:cs="宋体"/>
                <w:color w:val="auto"/>
                <w:sz w:val="18"/>
                <w:szCs w:val="18"/>
              </w:rPr>
            </w:pPr>
          </w:p>
        </w:tc>
      </w:tr>
      <w:tr w14:paraId="47B7C8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470457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2．对所有者（或股东）的分配</w:t>
            </w:r>
          </w:p>
        </w:tc>
        <w:tc>
          <w:tcPr>
            <w:tcW w:w="703" w:type="dxa"/>
            <w:tcBorders>
              <w:top w:val="single" w:color="auto" w:sz="2" w:space="0"/>
              <w:left w:val="single" w:color="auto" w:sz="2" w:space="0"/>
              <w:bottom w:val="single" w:color="auto" w:sz="2" w:space="0"/>
              <w:right w:val="single" w:color="auto" w:sz="2" w:space="0"/>
            </w:tcBorders>
            <w:vAlign w:val="center"/>
          </w:tcPr>
          <w:p w14:paraId="6DB9D26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AF0D9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E6E55E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EC1951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26332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987F03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C25E90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15A61E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3537C6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7DEDEB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76494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D29B3F7">
            <w:pPr>
              <w:spacing w:before="0" w:after="0" w:line="240" w:lineRule="exact"/>
              <w:jc w:val="right"/>
              <w:rPr>
                <w:rFonts w:ascii="宋体" w:hAnsi="宋体" w:eastAsia="宋体" w:cs="宋体"/>
                <w:color w:val="auto"/>
                <w:sz w:val="18"/>
                <w:szCs w:val="18"/>
              </w:rPr>
            </w:pPr>
          </w:p>
        </w:tc>
      </w:tr>
      <w:tr w14:paraId="131EC2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8B0306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3．其他</w:t>
            </w:r>
          </w:p>
        </w:tc>
        <w:tc>
          <w:tcPr>
            <w:tcW w:w="703" w:type="dxa"/>
            <w:tcBorders>
              <w:top w:val="single" w:color="auto" w:sz="2" w:space="0"/>
              <w:left w:val="single" w:color="auto" w:sz="2" w:space="0"/>
              <w:bottom w:val="single" w:color="auto" w:sz="2" w:space="0"/>
              <w:right w:val="single" w:color="auto" w:sz="2" w:space="0"/>
            </w:tcBorders>
            <w:vAlign w:val="center"/>
          </w:tcPr>
          <w:p w14:paraId="7312EE2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3C5ED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3664C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DDF54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6A7062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F7A207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811CC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B0910B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5D5A69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4DB3D3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654E22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4457B14">
            <w:pPr>
              <w:spacing w:before="0" w:after="0" w:line="240" w:lineRule="exact"/>
              <w:jc w:val="right"/>
              <w:rPr>
                <w:rFonts w:ascii="宋体" w:hAnsi="宋体" w:eastAsia="宋体" w:cs="宋体"/>
                <w:color w:val="auto"/>
                <w:sz w:val="18"/>
                <w:szCs w:val="18"/>
              </w:rPr>
            </w:pPr>
          </w:p>
        </w:tc>
      </w:tr>
      <w:tr w14:paraId="0515C0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A2D277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（四）所有者权益内部结转</w:t>
            </w:r>
          </w:p>
        </w:tc>
        <w:tc>
          <w:tcPr>
            <w:tcW w:w="703" w:type="dxa"/>
            <w:tcBorders>
              <w:top w:val="single" w:color="auto" w:sz="2" w:space="0"/>
              <w:left w:val="single" w:color="auto" w:sz="2" w:space="0"/>
              <w:bottom w:val="single" w:color="auto" w:sz="2" w:space="0"/>
              <w:right w:val="single" w:color="auto" w:sz="2" w:space="0"/>
            </w:tcBorders>
            <w:vAlign w:val="center"/>
          </w:tcPr>
          <w:p w14:paraId="7472BC7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C04897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1B2D54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91E4B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3A1AB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0215C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D4A651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548F1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C414D9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B163ED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21721F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813940">
            <w:pPr>
              <w:spacing w:before="0" w:after="0" w:line="240" w:lineRule="exact"/>
              <w:jc w:val="right"/>
              <w:rPr>
                <w:rFonts w:ascii="宋体" w:hAnsi="宋体" w:eastAsia="宋体" w:cs="宋体"/>
                <w:color w:val="auto"/>
                <w:sz w:val="18"/>
                <w:szCs w:val="18"/>
              </w:rPr>
            </w:pPr>
          </w:p>
        </w:tc>
      </w:tr>
      <w:tr w14:paraId="26047D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7792C8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1．资本公积转增资本（或股本）</w:t>
            </w:r>
          </w:p>
        </w:tc>
        <w:tc>
          <w:tcPr>
            <w:tcW w:w="703" w:type="dxa"/>
            <w:tcBorders>
              <w:top w:val="single" w:color="auto" w:sz="2" w:space="0"/>
              <w:left w:val="single" w:color="auto" w:sz="2" w:space="0"/>
              <w:bottom w:val="single" w:color="auto" w:sz="2" w:space="0"/>
              <w:right w:val="single" w:color="auto" w:sz="2" w:space="0"/>
            </w:tcBorders>
            <w:vAlign w:val="center"/>
          </w:tcPr>
          <w:p w14:paraId="5607BE7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B6EDF4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1D7D52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09768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BB62EF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9D5D8D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0FFBD0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F0E010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2D6ECF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50F649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B2C4DD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50C097A">
            <w:pPr>
              <w:spacing w:before="0" w:after="0" w:line="240" w:lineRule="exact"/>
              <w:jc w:val="right"/>
              <w:rPr>
                <w:rFonts w:ascii="宋体" w:hAnsi="宋体" w:eastAsia="宋体" w:cs="宋体"/>
                <w:color w:val="auto"/>
                <w:sz w:val="18"/>
                <w:szCs w:val="18"/>
              </w:rPr>
            </w:pPr>
          </w:p>
        </w:tc>
      </w:tr>
      <w:tr w14:paraId="4A21CA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0C2E0B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2．盈余公积转增资本（或股本）</w:t>
            </w:r>
          </w:p>
        </w:tc>
        <w:tc>
          <w:tcPr>
            <w:tcW w:w="703" w:type="dxa"/>
            <w:tcBorders>
              <w:top w:val="single" w:color="auto" w:sz="2" w:space="0"/>
              <w:left w:val="single" w:color="auto" w:sz="2" w:space="0"/>
              <w:bottom w:val="single" w:color="auto" w:sz="2" w:space="0"/>
              <w:right w:val="single" w:color="auto" w:sz="2" w:space="0"/>
            </w:tcBorders>
            <w:vAlign w:val="center"/>
          </w:tcPr>
          <w:p w14:paraId="0320CAA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535AAC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682585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67BCC5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68C4E9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3201E4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7C3ED0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3A7EDA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A6563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8A0883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E9DA0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5805ACB">
            <w:pPr>
              <w:spacing w:before="0" w:after="0" w:line="240" w:lineRule="exact"/>
              <w:jc w:val="right"/>
              <w:rPr>
                <w:rFonts w:ascii="宋体" w:hAnsi="宋体" w:eastAsia="宋体" w:cs="宋体"/>
                <w:color w:val="auto"/>
                <w:sz w:val="18"/>
                <w:szCs w:val="18"/>
              </w:rPr>
            </w:pPr>
          </w:p>
        </w:tc>
      </w:tr>
      <w:tr w14:paraId="1C24D1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7E0FCB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3．盈余公积弥补亏损</w:t>
            </w:r>
          </w:p>
        </w:tc>
        <w:tc>
          <w:tcPr>
            <w:tcW w:w="703" w:type="dxa"/>
            <w:tcBorders>
              <w:top w:val="single" w:color="auto" w:sz="2" w:space="0"/>
              <w:left w:val="single" w:color="auto" w:sz="2" w:space="0"/>
              <w:bottom w:val="single" w:color="auto" w:sz="2" w:space="0"/>
              <w:right w:val="single" w:color="auto" w:sz="2" w:space="0"/>
            </w:tcBorders>
            <w:vAlign w:val="center"/>
          </w:tcPr>
          <w:p w14:paraId="6632FF3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CDD4A4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4479E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40933C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3B7B2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43529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59C0DC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F8B65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F94EFB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0CB661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69EE08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09829E">
            <w:pPr>
              <w:spacing w:before="0" w:after="0" w:line="240" w:lineRule="exact"/>
              <w:jc w:val="right"/>
              <w:rPr>
                <w:rFonts w:ascii="宋体" w:hAnsi="宋体" w:eastAsia="宋体" w:cs="宋体"/>
                <w:color w:val="auto"/>
                <w:sz w:val="18"/>
                <w:szCs w:val="18"/>
              </w:rPr>
            </w:pPr>
          </w:p>
        </w:tc>
      </w:tr>
      <w:tr w14:paraId="35E58D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CAB8C2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4．设定受益计划变动额结转留存收益</w:t>
            </w:r>
          </w:p>
        </w:tc>
        <w:tc>
          <w:tcPr>
            <w:tcW w:w="703" w:type="dxa"/>
            <w:tcBorders>
              <w:top w:val="single" w:color="auto" w:sz="2" w:space="0"/>
              <w:left w:val="single" w:color="auto" w:sz="2" w:space="0"/>
              <w:bottom w:val="single" w:color="auto" w:sz="2" w:space="0"/>
              <w:right w:val="single" w:color="auto" w:sz="2" w:space="0"/>
            </w:tcBorders>
            <w:vAlign w:val="center"/>
          </w:tcPr>
          <w:p w14:paraId="75F46E0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662A8F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31866C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225ED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8254B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03C1C2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75DAD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92B9B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101964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B34B0F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47CA5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71E39F">
            <w:pPr>
              <w:spacing w:before="0" w:after="0" w:line="240" w:lineRule="exact"/>
              <w:jc w:val="right"/>
              <w:rPr>
                <w:rFonts w:ascii="宋体" w:hAnsi="宋体" w:eastAsia="宋体" w:cs="宋体"/>
                <w:color w:val="auto"/>
                <w:sz w:val="18"/>
                <w:szCs w:val="18"/>
              </w:rPr>
            </w:pPr>
          </w:p>
        </w:tc>
      </w:tr>
      <w:tr w14:paraId="7EEB99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425E46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5．其他综合收益结转留存收益</w:t>
            </w:r>
          </w:p>
        </w:tc>
        <w:tc>
          <w:tcPr>
            <w:tcW w:w="703" w:type="dxa"/>
            <w:tcBorders>
              <w:top w:val="single" w:color="auto" w:sz="2" w:space="0"/>
              <w:left w:val="single" w:color="auto" w:sz="2" w:space="0"/>
              <w:bottom w:val="single" w:color="auto" w:sz="2" w:space="0"/>
              <w:right w:val="single" w:color="auto" w:sz="2" w:space="0"/>
            </w:tcBorders>
            <w:vAlign w:val="center"/>
          </w:tcPr>
          <w:p w14:paraId="5F46CC4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153E51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A00298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AA578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B5C8A6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AD937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438E7C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2D315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BED07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791D7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46B913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BA4B8CF">
            <w:pPr>
              <w:spacing w:before="0" w:after="0" w:line="240" w:lineRule="exact"/>
              <w:jc w:val="right"/>
              <w:rPr>
                <w:rFonts w:ascii="宋体" w:hAnsi="宋体" w:eastAsia="宋体" w:cs="宋体"/>
                <w:color w:val="auto"/>
                <w:sz w:val="18"/>
                <w:szCs w:val="18"/>
              </w:rPr>
            </w:pPr>
          </w:p>
        </w:tc>
      </w:tr>
      <w:tr w14:paraId="508ED5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F82BD7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6．其他</w:t>
            </w:r>
          </w:p>
        </w:tc>
        <w:tc>
          <w:tcPr>
            <w:tcW w:w="703" w:type="dxa"/>
            <w:tcBorders>
              <w:top w:val="single" w:color="auto" w:sz="2" w:space="0"/>
              <w:left w:val="single" w:color="auto" w:sz="2" w:space="0"/>
              <w:bottom w:val="single" w:color="auto" w:sz="2" w:space="0"/>
              <w:right w:val="single" w:color="auto" w:sz="2" w:space="0"/>
            </w:tcBorders>
            <w:vAlign w:val="center"/>
          </w:tcPr>
          <w:p w14:paraId="60D0107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F90E02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CC898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8BEAF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4D8024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9CD0E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2AE58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54717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534B9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84CAA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DCB1FE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2B3E875">
            <w:pPr>
              <w:spacing w:before="0" w:after="0" w:line="240" w:lineRule="exact"/>
              <w:jc w:val="right"/>
              <w:rPr>
                <w:rFonts w:ascii="宋体" w:hAnsi="宋体" w:eastAsia="宋体" w:cs="宋体"/>
                <w:color w:val="auto"/>
                <w:sz w:val="18"/>
                <w:szCs w:val="18"/>
              </w:rPr>
            </w:pPr>
          </w:p>
        </w:tc>
      </w:tr>
      <w:tr w14:paraId="7EBE32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695633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（五）专项储备</w:t>
            </w:r>
          </w:p>
        </w:tc>
        <w:tc>
          <w:tcPr>
            <w:tcW w:w="703" w:type="dxa"/>
            <w:tcBorders>
              <w:top w:val="single" w:color="auto" w:sz="2" w:space="0"/>
              <w:left w:val="single" w:color="auto" w:sz="2" w:space="0"/>
              <w:bottom w:val="single" w:color="auto" w:sz="2" w:space="0"/>
              <w:right w:val="single" w:color="auto" w:sz="2" w:space="0"/>
            </w:tcBorders>
            <w:vAlign w:val="center"/>
          </w:tcPr>
          <w:p w14:paraId="6C5BA4D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47B3B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95A1ED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6243D0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62950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CCFBD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3FF71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F83C1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E6673D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2E2C21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D97D1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69D69A1">
            <w:pPr>
              <w:spacing w:before="0" w:after="0" w:line="240" w:lineRule="exact"/>
              <w:jc w:val="right"/>
              <w:rPr>
                <w:rFonts w:ascii="宋体" w:hAnsi="宋体" w:eastAsia="宋体" w:cs="宋体"/>
                <w:color w:val="auto"/>
                <w:sz w:val="18"/>
                <w:szCs w:val="18"/>
              </w:rPr>
            </w:pPr>
          </w:p>
        </w:tc>
      </w:tr>
      <w:tr w14:paraId="29E95E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B805BE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1．本期提取</w:t>
            </w:r>
          </w:p>
        </w:tc>
        <w:tc>
          <w:tcPr>
            <w:tcW w:w="703" w:type="dxa"/>
            <w:tcBorders>
              <w:top w:val="single" w:color="auto" w:sz="2" w:space="0"/>
              <w:left w:val="single" w:color="auto" w:sz="2" w:space="0"/>
              <w:bottom w:val="single" w:color="auto" w:sz="2" w:space="0"/>
              <w:right w:val="single" w:color="auto" w:sz="2" w:space="0"/>
            </w:tcBorders>
            <w:vAlign w:val="center"/>
          </w:tcPr>
          <w:p w14:paraId="4A200DE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C144D2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21E4F4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73B77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565881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86F6C7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325ABA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ED642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2B0FC6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E883D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8E235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608C8E1">
            <w:pPr>
              <w:spacing w:before="0" w:after="0" w:line="240" w:lineRule="exact"/>
              <w:jc w:val="right"/>
              <w:rPr>
                <w:rFonts w:ascii="宋体" w:hAnsi="宋体" w:eastAsia="宋体" w:cs="宋体"/>
                <w:color w:val="auto"/>
                <w:sz w:val="18"/>
                <w:szCs w:val="18"/>
              </w:rPr>
            </w:pPr>
          </w:p>
        </w:tc>
      </w:tr>
      <w:tr w14:paraId="1C1C7A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F692BA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2．本期使用</w:t>
            </w:r>
          </w:p>
        </w:tc>
        <w:tc>
          <w:tcPr>
            <w:tcW w:w="703" w:type="dxa"/>
            <w:tcBorders>
              <w:top w:val="single" w:color="auto" w:sz="2" w:space="0"/>
              <w:left w:val="single" w:color="auto" w:sz="2" w:space="0"/>
              <w:bottom w:val="single" w:color="auto" w:sz="2" w:space="0"/>
              <w:right w:val="single" w:color="auto" w:sz="2" w:space="0"/>
            </w:tcBorders>
            <w:vAlign w:val="center"/>
          </w:tcPr>
          <w:p w14:paraId="5208A50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A7D9C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524F83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7BBF7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2B2FAA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4C6EF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73FC2A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1AE64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3F26C3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C20544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C2C87F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EE9A873">
            <w:pPr>
              <w:spacing w:before="0" w:after="0" w:line="240" w:lineRule="exact"/>
              <w:jc w:val="right"/>
              <w:rPr>
                <w:rFonts w:ascii="宋体" w:hAnsi="宋体" w:eastAsia="宋体" w:cs="宋体"/>
                <w:color w:val="auto"/>
                <w:sz w:val="18"/>
                <w:szCs w:val="18"/>
              </w:rPr>
            </w:pPr>
          </w:p>
        </w:tc>
      </w:tr>
      <w:tr w14:paraId="53E5DE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CBDBAB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（六）其他</w:t>
            </w:r>
          </w:p>
        </w:tc>
        <w:tc>
          <w:tcPr>
            <w:tcW w:w="703" w:type="dxa"/>
            <w:tcBorders>
              <w:top w:val="single" w:color="auto" w:sz="2" w:space="0"/>
              <w:left w:val="single" w:color="auto" w:sz="2" w:space="0"/>
              <w:bottom w:val="single" w:color="auto" w:sz="2" w:space="0"/>
              <w:right w:val="single" w:color="auto" w:sz="2" w:space="0"/>
            </w:tcBorders>
            <w:vAlign w:val="center"/>
          </w:tcPr>
          <w:p w14:paraId="5C5A69C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555E4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977209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35FE79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1F0F9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-754,716.98</w:t>
            </w:r>
          </w:p>
        </w:tc>
        <w:tc>
          <w:tcPr>
            <w:tcW w:w="703" w:type="dxa"/>
            <w:tcBorders>
              <w:top w:val="single" w:color="auto" w:sz="2" w:space="0"/>
              <w:left w:val="single" w:color="auto" w:sz="2" w:space="0"/>
              <w:bottom w:val="single" w:color="auto" w:sz="2" w:space="0"/>
              <w:right w:val="single" w:color="auto" w:sz="2" w:space="0"/>
            </w:tcBorders>
            <w:vAlign w:val="center"/>
          </w:tcPr>
          <w:p w14:paraId="1FC866C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2ED24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F8CE2A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EAAAAF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16A322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05DE56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A9849D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-754,716.98</w:t>
            </w:r>
          </w:p>
        </w:tc>
      </w:tr>
      <w:tr w14:paraId="202E90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AFB451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四、本期期末余额</w:t>
            </w:r>
          </w:p>
        </w:tc>
        <w:tc>
          <w:tcPr>
            <w:tcW w:w="703" w:type="dxa"/>
            <w:tcBorders>
              <w:top w:val="single" w:color="auto" w:sz="2" w:space="0"/>
              <w:left w:val="single" w:color="auto" w:sz="2" w:space="0"/>
              <w:bottom w:val="single" w:color="auto" w:sz="2" w:space="0"/>
              <w:right w:val="single" w:color="auto" w:sz="2" w:space="0"/>
            </w:tcBorders>
            <w:vAlign w:val="center"/>
          </w:tcPr>
          <w:p w14:paraId="6F4E7D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703" w:type="dxa"/>
            <w:tcBorders>
              <w:top w:val="single" w:color="auto" w:sz="2" w:space="0"/>
              <w:left w:val="single" w:color="auto" w:sz="2" w:space="0"/>
              <w:bottom w:val="single" w:color="auto" w:sz="2" w:space="0"/>
              <w:right w:val="single" w:color="auto" w:sz="2" w:space="0"/>
            </w:tcBorders>
            <w:vAlign w:val="center"/>
          </w:tcPr>
          <w:p w14:paraId="63AB04C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3223C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2964F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CDAD5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674,998,795.84</w:t>
            </w:r>
          </w:p>
        </w:tc>
        <w:tc>
          <w:tcPr>
            <w:tcW w:w="703" w:type="dxa"/>
            <w:tcBorders>
              <w:top w:val="single" w:color="auto" w:sz="2" w:space="0"/>
              <w:left w:val="single" w:color="auto" w:sz="2" w:space="0"/>
              <w:bottom w:val="single" w:color="auto" w:sz="2" w:space="0"/>
              <w:right w:val="single" w:color="auto" w:sz="2" w:space="0"/>
            </w:tcBorders>
            <w:vAlign w:val="center"/>
          </w:tcPr>
          <w:p w14:paraId="75E4718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40CF5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304CE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5E25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703" w:type="dxa"/>
            <w:tcBorders>
              <w:top w:val="single" w:color="auto" w:sz="2" w:space="0"/>
              <w:left w:val="single" w:color="auto" w:sz="2" w:space="0"/>
              <w:bottom w:val="single" w:color="auto" w:sz="2" w:space="0"/>
              <w:right w:val="single" w:color="auto" w:sz="2" w:space="0"/>
            </w:tcBorders>
            <w:vAlign w:val="center"/>
          </w:tcPr>
          <w:p w14:paraId="1B0CA4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150,023,383.90</w:t>
            </w:r>
          </w:p>
        </w:tc>
        <w:tc>
          <w:tcPr>
            <w:tcW w:w="703" w:type="dxa"/>
            <w:tcBorders>
              <w:top w:val="single" w:color="auto" w:sz="2" w:space="0"/>
              <w:left w:val="single" w:color="auto" w:sz="2" w:space="0"/>
              <w:bottom w:val="single" w:color="auto" w:sz="2" w:space="0"/>
              <w:right w:val="single" w:color="auto" w:sz="2" w:space="0"/>
            </w:tcBorders>
            <w:vAlign w:val="center"/>
          </w:tcPr>
          <w:p w14:paraId="23BBB76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A97F3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1,028,683,013.05</w:t>
            </w:r>
          </w:p>
        </w:tc>
      </w:tr>
    </w:tbl>
    <w:p w14:paraId="0524C61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上期金额</w:t>
      </w:r>
    </w:p>
    <w:p w14:paraId="3F6FCE36">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0"/>
        <w:gridCol w:w="703"/>
        <w:gridCol w:w="703"/>
        <w:gridCol w:w="703"/>
        <w:gridCol w:w="703"/>
        <w:gridCol w:w="703"/>
        <w:gridCol w:w="703"/>
        <w:gridCol w:w="703"/>
        <w:gridCol w:w="703"/>
        <w:gridCol w:w="703"/>
        <w:gridCol w:w="703"/>
        <w:gridCol w:w="703"/>
        <w:gridCol w:w="703"/>
      </w:tblGrid>
      <w:tr w14:paraId="6650F8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B7AAC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8439" w:type="dxa"/>
            <w:gridSpan w:val="12"/>
            <w:tcBorders>
              <w:top w:val="single" w:color="auto" w:sz="2" w:space="0"/>
              <w:left w:val="single" w:color="auto" w:sz="2" w:space="0"/>
              <w:bottom w:val="single" w:color="auto" w:sz="2" w:space="0"/>
              <w:right w:val="single" w:color="auto" w:sz="2" w:space="0"/>
            </w:tcBorders>
            <w:shd w:val="clear" w:color="auto" w:fill="D3D3D3"/>
            <w:vAlign w:val="center"/>
          </w:tcPr>
          <w:p w14:paraId="7862C36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2024年半年度</w:t>
            </w:r>
          </w:p>
        </w:tc>
      </w:tr>
      <w:tr w14:paraId="26FAAD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4EEF2D">
            <w:pPr>
              <w:rPr>
                <w:color w:val="auto"/>
              </w:rPr>
            </w:pP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B50876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股本</w:t>
            </w:r>
          </w:p>
        </w:tc>
        <w:tc>
          <w:tcPr>
            <w:tcW w:w="2110"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C25754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其他权益工具</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6AD054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资本公积</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269F2A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减：库存股</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6318BD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其他综合收益</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E8B3F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专项储备</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0FB82F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盈余公积</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4AA57E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未分配利润</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3E8FC5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7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F7BE82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所有者权益合计</w:t>
            </w:r>
          </w:p>
        </w:tc>
      </w:tr>
      <w:tr w14:paraId="44DF40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974C5F">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B509CDD">
            <w:pPr>
              <w:rPr>
                <w:color w:val="auto"/>
              </w:rPr>
            </w:pPr>
          </w:p>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721D2EF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优先股</w:t>
            </w:r>
          </w:p>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3E7E686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永续债</w:t>
            </w:r>
          </w:p>
        </w:tc>
        <w:tc>
          <w:tcPr>
            <w:tcW w:w="703" w:type="dxa"/>
            <w:tcBorders>
              <w:top w:val="single" w:color="auto" w:sz="2" w:space="0"/>
              <w:left w:val="single" w:color="auto" w:sz="2" w:space="0"/>
              <w:bottom w:val="single" w:color="auto" w:sz="2" w:space="0"/>
              <w:right w:val="single" w:color="auto" w:sz="2" w:space="0"/>
            </w:tcBorders>
            <w:shd w:val="clear" w:color="auto" w:fill="D3D3D3"/>
            <w:vAlign w:val="center"/>
          </w:tcPr>
          <w:p w14:paraId="151963F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BBAF55C">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1EE1D3">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5A76D51">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vAlign w:val="center"/>
          </w:tcPr>
          <w:p w14:paraId="6D6F1A22">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A6B294">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2962D12">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vAlign w:val="center"/>
          </w:tcPr>
          <w:p w14:paraId="639E5132">
            <w:pPr>
              <w:rPr>
                <w:color w:val="auto"/>
              </w:rPr>
            </w:pPr>
          </w:p>
        </w:tc>
        <w:tc>
          <w:tcPr>
            <w:tcW w:w="70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0684511">
            <w:pPr>
              <w:rPr>
                <w:color w:val="auto"/>
              </w:rPr>
            </w:pPr>
          </w:p>
        </w:tc>
      </w:tr>
      <w:tr w14:paraId="3A0F41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E41AF8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一、上年年末余额</w:t>
            </w:r>
          </w:p>
        </w:tc>
        <w:tc>
          <w:tcPr>
            <w:tcW w:w="703" w:type="dxa"/>
            <w:tcBorders>
              <w:top w:val="single" w:color="auto" w:sz="2" w:space="0"/>
              <w:left w:val="single" w:color="auto" w:sz="2" w:space="0"/>
              <w:bottom w:val="single" w:color="auto" w:sz="2" w:space="0"/>
              <w:right w:val="single" w:color="auto" w:sz="2" w:space="0"/>
            </w:tcBorders>
            <w:vAlign w:val="center"/>
          </w:tcPr>
          <w:p w14:paraId="24218F3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703" w:type="dxa"/>
            <w:tcBorders>
              <w:top w:val="single" w:color="auto" w:sz="2" w:space="0"/>
              <w:left w:val="single" w:color="auto" w:sz="2" w:space="0"/>
              <w:bottom w:val="single" w:color="auto" w:sz="2" w:space="0"/>
              <w:right w:val="single" w:color="auto" w:sz="2" w:space="0"/>
            </w:tcBorders>
            <w:vAlign w:val="center"/>
          </w:tcPr>
          <w:p w14:paraId="05C99C0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9814E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CCD302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D39B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675,753,512.82</w:t>
            </w:r>
          </w:p>
        </w:tc>
        <w:tc>
          <w:tcPr>
            <w:tcW w:w="703" w:type="dxa"/>
            <w:tcBorders>
              <w:top w:val="single" w:color="auto" w:sz="2" w:space="0"/>
              <w:left w:val="single" w:color="auto" w:sz="2" w:space="0"/>
              <w:bottom w:val="single" w:color="auto" w:sz="2" w:space="0"/>
              <w:right w:val="single" w:color="auto" w:sz="2" w:space="0"/>
            </w:tcBorders>
            <w:vAlign w:val="center"/>
          </w:tcPr>
          <w:p w14:paraId="33E10ED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A6776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AB3F4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0C1D0C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703" w:type="dxa"/>
            <w:tcBorders>
              <w:top w:val="single" w:color="auto" w:sz="2" w:space="0"/>
              <w:left w:val="single" w:color="auto" w:sz="2" w:space="0"/>
              <w:bottom w:val="single" w:color="auto" w:sz="2" w:space="0"/>
              <w:right w:val="single" w:color="auto" w:sz="2" w:space="0"/>
            </w:tcBorders>
            <w:vAlign w:val="center"/>
          </w:tcPr>
          <w:p w14:paraId="03A6600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248,070,535.57</w:t>
            </w:r>
          </w:p>
        </w:tc>
        <w:tc>
          <w:tcPr>
            <w:tcW w:w="703" w:type="dxa"/>
            <w:tcBorders>
              <w:top w:val="single" w:color="auto" w:sz="2" w:space="0"/>
              <w:left w:val="single" w:color="auto" w:sz="2" w:space="0"/>
              <w:bottom w:val="single" w:color="auto" w:sz="2" w:space="0"/>
              <w:right w:val="single" w:color="auto" w:sz="2" w:space="0"/>
            </w:tcBorders>
            <w:vAlign w:val="center"/>
          </w:tcPr>
          <w:p w14:paraId="78C6A5C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B2EE7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1,127,484,881.70</w:t>
            </w:r>
          </w:p>
        </w:tc>
      </w:tr>
      <w:tr w14:paraId="5FFF0A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94301B2">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加：会计政策变更</w:t>
            </w:r>
          </w:p>
        </w:tc>
        <w:tc>
          <w:tcPr>
            <w:tcW w:w="703" w:type="dxa"/>
            <w:tcBorders>
              <w:top w:val="single" w:color="auto" w:sz="2" w:space="0"/>
              <w:left w:val="single" w:color="auto" w:sz="2" w:space="0"/>
              <w:bottom w:val="single" w:color="auto" w:sz="2" w:space="0"/>
              <w:right w:val="single" w:color="auto" w:sz="2" w:space="0"/>
            </w:tcBorders>
            <w:vAlign w:val="center"/>
          </w:tcPr>
          <w:p w14:paraId="0084935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548D6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490FC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FF1BEE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0D487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FC9B8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20F018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5FE2D6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F9FA1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5243B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B49BB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13AE513">
            <w:pPr>
              <w:spacing w:before="0" w:after="0" w:line="240" w:lineRule="exact"/>
              <w:jc w:val="right"/>
              <w:rPr>
                <w:rFonts w:ascii="宋体" w:hAnsi="宋体" w:eastAsia="宋体" w:cs="宋体"/>
                <w:color w:val="auto"/>
                <w:sz w:val="18"/>
                <w:szCs w:val="18"/>
              </w:rPr>
            </w:pPr>
          </w:p>
        </w:tc>
      </w:tr>
      <w:tr w14:paraId="5A5B1B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9ABC089">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前期差错更正</w:t>
            </w:r>
          </w:p>
        </w:tc>
        <w:tc>
          <w:tcPr>
            <w:tcW w:w="703" w:type="dxa"/>
            <w:tcBorders>
              <w:top w:val="single" w:color="auto" w:sz="2" w:space="0"/>
              <w:left w:val="single" w:color="auto" w:sz="2" w:space="0"/>
              <w:bottom w:val="single" w:color="auto" w:sz="2" w:space="0"/>
              <w:right w:val="single" w:color="auto" w:sz="2" w:space="0"/>
            </w:tcBorders>
            <w:vAlign w:val="center"/>
          </w:tcPr>
          <w:p w14:paraId="141E641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F20FE9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8CC9B8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4E3DDB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A30B4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D62ABB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E591A7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F6FDB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5734B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2BE72F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5E7A1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FB49F90">
            <w:pPr>
              <w:spacing w:before="0" w:after="0" w:line="240" w:lineRule="exact"/>
              <w:jc w:val="right"/>
              <w:rPr>
                <w:rFonts w:ascii="宋体" w:hAnsi="宋体" w:eastAsia="宋体" w:cs="宋体"/>
                <w:color w:val="auto"/>
                <w:sz w:val="18"/>
                <w:szCs w:val="18"/>
              </w:rPr>
            </w:pPr>
          </w:p>
        </w:tc>
      </w:tr>
      <w:tr w14:paraId="2EB952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85B80BF">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703" w:type="dxa"/>
            <w:tcBorders>
              <w:top w:val="single" w:color="auto" w:sz="2" w:space="0"/>
              <w:left w:val="single" w:color="auto" w:sz="2" w:space="0"/>
              <w:bottom w:val="single" w:color="auto" w:sz="2" w:space="0"/>
              <w:right w:val="single" w:color="auto" w:sz="2" w:space="0"/>
            </w:tcBorders>
            <w:vAlign w:val="center"/>
          </w:tcPr>
          <w:p w14:paraId="5270636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BCB77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C9BB7C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EA6DF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76A60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75CF15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D4DB4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B06C1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37136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880C6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F2396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5A24539">
            <w:pPr>
              <w:spacing w:before="0" w:after="0" w:line="240" w:lineRule="exact"/>
              <w:jc w:val="right"/>
              <w:rPr>
                <w:rFonts w:ascii="宋体" w:hAnsi="宋体" w:eastAsia="宋体" w:cs="宋体"/>
                <w:color w:val="auto"/>
                <w:sz w:val="18"/>
                <w:szCs w:val="18"/>
              </w:rPr>
            </w:pPr>
          </w:p>
        </w:tc>
      </w:tr>
      <w:tr w14:paraId="0130B9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E36C34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二、本年期初余额</w:t>
            </w:r>
          </w:p>
        </w:tc>
        <w:tc>
          <w:tcPr>
            <w:tcW w:w="703" w:type="dxa"/>
            <w:tcBorders>
              <w:top w:val="single" w:color="auto" w:sz="2" w:space="0"/>
              <w:left w:val="single" w:color="auto" w:sz="2" w:space="0"/>
              <w:bottom w:val="single" w:color="auto" w:sz="2" w:space="0"/>
              <w:right w:val="single" w:color="auto" w:sz="2" w:space="0"/>
            </w:tcBorders>
            <w:vAlign w:val="center"/>
          </w:tcPr>
          <w:p w14:paraId="6B5323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703" w:type="dxa"/>
            <w:tcBorders>
              <w:top w:val="single" w:color="auto" w:sz="2" w:space="0"/>
              <w:left w:val="single" w:color="auto" w:sz="2" w:space="0"/>
              <w:bottom w:val="single" w:color="auto" w:sz="2" w:space="0"/>
              <w:right w:val="single" w:color="auto" w:sz="2" w:space="0"/>
            </w:tcBorders>
            <w:vAlign w:val="center"/>
          </w:tcPr>
          <w:p w14:paraId="38B6A71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8570FE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22CDD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B9707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675,753,512.82</w:t>
            </w:r>
          </w:p>
        </w:tc>
        <w:tc>
          <w:tcPr>
            <w:tcW w:w="703" w:type="dxa"/>
            <w:tcBorders>
              <w:top w:val="single" w:color="auto" w:sz="2" w:space="0"/>
              <w:left w:val="single" w:color="auto" w:sz="2" w:space="0"/>
              <w:bottom w:val="single" w:color="auto" w:sz="2" w:space="0"/>
              <w:right w:val="single" w:color="auto" w:sz="2" w:space="0"/>
            </w:tcBorders>
            <w:vAlign w:val="center"/>
          </w:tcPr>
          <w:p w14:paraId="317A0C9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C9A3C0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0DD45D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A4B7F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703" w:type="dxa"/>
            <w:tcBorders>
              <w:top w:val="single" w:color="auto" w:sz="2" w:space="0"/>
              <w:left w:val="single" w:color="auto" w:sz="2" w:space="0"/>
              <w:bottom w:val="single" w:color="auto" w:sz="2" w:space="0"/>
              <w:right w:val="single" w:color="auto" w:sz="2" w:space="0"/>
            </w:tcBorders>
            <w:vAlign w:val="center"/>
          </w:tcPr>
          <w:p w14:paraId="49D0343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248,070,535.57</w:t>
            </w:r>
          </w:p>
        </w:tc>
        <w:tc>
          <w:tcPr>
            <w:tcW w:w="703" w:type="dxa"/>
            <w:tcBorders>
              <w:top w:val="single" w:color="auto" w:sz="2" w:space="0"/>
              <w:left w:val="single" w:color="auto" w:sz="2" w:space="0"/>
              <w:bottom w:val="single" w:color="auto" w:sz="2" w:space="0"/>
              <w:right w:val="single" w:color="auto" w:sz="2" w:space="0"/>
            </w:tcBorders>
            <w:vAlign w:val="center"/>
          </w:tcPr>
          <w:p w14:paraId="5CDA690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EDA5B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1,127,484,881.70</w:t>
            </w:r>
          </w:p>
        </w:tc>
      </w:tr>
      <w:tr w14:paraId="23FA68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A77000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三、本期增减变动金额（减少以“－”号填列）</w:t>
            </w:r>
          </w:p>
        </w:tc>
        <w:tc>
          <w:tcPr>
            <w:tcW w:w="703" w:type="dxa"/>
            <w:tcBorders>
              <w:top w:val="single" w:color="auto" w:sz="2" w:space="0"/>
              <w:left w:val="single" w:color="auto" w:sz="2" w:space="0"/>
              <w:bottom w:val="single" w:color="auto" w:sz="2" w:space="0"/>
              <w:right w:val="single" w:color="auto" w:sz="2" w:space="0"/>
            </w:tcBorders>
            <w:vAlign w:val="center"/>
          </w:tcPr>
          <w:p w14:paraId="1737B02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7E6D4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2A13F8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9EACA3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A1101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A4886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FE309E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F1868F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29838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61B7E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-4,410,779.88</w:t>
            </w:r>
          </w:p>
        </w:tc>
        <w:tc>
          <w:tcPr>
            <w:tcW w:w="703" w:type="dxa"/>
            <w:tcBorders>
              <w:top w:val="single" w:color="auto" w:sz="2" w:space="0"/>
              <w:left w:val="single" w:color="auto" w:sz="2" w:space="0"/>
              <w:bottom w:val="single" w:color="auto" w:sz="2" w:space="0"/>
              <w:right w:val="single" w:color="auto" w:sz="2" w:space="0"/>
            </w:tcBorders>
            <w:vAlign w:val="center"/>
          </w:tcPr>
          <w:p w14:paraId="1237455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05A871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-4,410,779.88</w:t>
            </w:r>
          </w:p>
        </w:tc>
      </w:tr>
      <w:tr w14:paraId="20D48F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60B0D33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（一）综合收益总额</w:t>
            </w:r>
          </w:p>
        </w:tc>
        <w:tc>
          <w:tcPr>
            <w:tcW w:w="703" w:type="dxa"/>
            <w:tcBorders>
              <w:top w:val="single" w:color="auto" w:sz="2" w:space="0"/>
              <w:left w:val="single" w:color="auto" w:sz="2" w:space="0"/>
              <w:bottom w:val="single" w:color="auto" w:sz="2" w:space="0"/>
              <w:right w:val="single" w:color="auto" w:sz="2" w:space="0"/>
            </w:tcBorders>
            <w:vAlign w:val="center"/>
          </w:tcPr>
          <w:p w14:paraId="68BECDF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71272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58C367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791D5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61F0A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1BFE7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BB4807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CC3DD7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C0C85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F572A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-4,410,779.88</w:t>
            </w:r>
          </w:p>
        </w:tc>
        <w:tc>
          <w:tcPr>
            <w:tcW w:w="703" w:type="dxa"/>
            <w:tcBorders>
              <w:top w:val="single" w:color="auto" w:sz="2" w:space="0"/>
              <w:left w:val="single" w:color="auto" w:sz="2" w:space="0"/>
              <w:bottom w:val="single" w:color="auto" w:sz="2" w:space="0"/>
              <w:right w:val="single" w:color="auto" w:sz="2" w:space="0"/>
            </w:tcBorders>
            <w:vAlign w:val="center"/>
          </w:tcPr>
          <w:p w14:paraId="7667168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C6820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-4,410,779.88</w:t>
            </w:r>
          </w:p>
        </w:tc>
      </w:tr>
      <w:tr w14:paraId="5BF4AF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BAD81C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（二）所有者投入和减少资本</w:t>
            </w:r>
          </w:p>
        </w:tc>
        <w:tc>
          <w:tcPr>
            <w:tcW w:w="703" w:type="dxa"/>
            <w:tcBorders>
              <w:top w:val="single" w:color="auto" w:sz="2" w:space="0"/>
              <w:left w:val="single" w:color="auto" w:sz="2" w:space="0"/>
              <w:bottom w:val="single" w:color="auto" w:sz="2" w:space="0"/>
              <w:right w:val="single" w:color="auto" w:sz="2" w:space="0"/>
            </w:tcBorders>
            <w:vAlign w:val="center"/>
          </w:tcPr>
          <w:p w14:paraId="4F026CA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844959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A2C15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5EDE2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0093E6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FA6BB0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823EB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7FE4C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1DCF26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1C0A65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55D90A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640EB22">
            <w:pPr>
              <w:spacing w:before="0" w:after="0" w:line="240" w:lineRule="exact"/>
              <w:jc w:val="right"/>
              <w:rPr>
                <w:rFonts w:ascii="宋体" w:hAnsi="宋体" w:eastAsia="宋体" w:cs="宋体"/>
                <w:color w:val="auto"/>
                <w:sz w:val="18"/>
                <w:szCs w:val="18"/>
              </w:rPr>
            </w:pPr>
          </w:p>
        </w:tc>
      </w:tr>
      <w:tr w14:paraId="5D1EB5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8BDAD3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1．所有者投入的普通股</w:t>
            </w:r>
          </w:p>
        </w:tc>
        <w:tc>
          <w:tcPr>
            <w:tcW w:w="703" w:type="dxa"/>
            <w:tcBorders>
              <w:top w:val="single" w:color="auto" w:sz="2" w:space="0"/>
              <w:left w:val="single" w:color="auto" w:sz="2" w:space="0"/>
              <w:bottom w:val="single" w:color="auto" w:sz="2" w:space="0"/>
              <w:right w:val="single" w:color="auto" w:sz="2" w:space="0"/>
            </w:tcBorders>
            <w:vAlign w:val="center"/>
          </w:tcPr>
          <w:p w14:paraId="1509ACB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7BD3D7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1AD6B7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63027C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C891C6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335138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26673C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50DF7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AC5603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568404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DE455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AC24E98">
            <w:pPr>
              <w:spacing w:before="0" w:after="0" w:line="240" w:lineRule="exact"/>
              <w:jc w:val="right"/>
              <w:rPr>
                <w:rFonts w:ascii="宋体" w:hAnsi="宋体" w:eastAsia="宋体" w:cs="宋体"/>
                <w:color w:val="auto"/>
                <w:sz w:val="18"/>
                <w:szCs w:val="18"/>
              </w:rPr>
            </w:pPr>
          </w:p>
        </w:tc>
      </w:tr>
      <w:tr w14:paraId="321DFD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CD0855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2．其他权益工具持有者投入资本</w:t>
            </w:r>
          </w:p>
        </w:tc>
        <w:tc>
          <w:tcPr>
            <w:tcW w:w="703" w:type="dxa"/>
            <w:tcBorders>
              <w:top w:val="single" w:color="auto" w:sz="2" w:space="0"/>
              <w:left w:val="single" w:color="auto" w:sz="2" w:space="0"/>
              <w:bottom w:val="single" w:color="auto" w:sz="2" w:space="0"/>
              <w:right w:val="single" w:color="auto" w:sz="2" w:space="0"/>
            </w:tcBorders>
            <w:vAlign w:val="center"/>
          </w:tcPr>
          <w:p w14:paraId="23AACA1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3E7321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D4B22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C7BF71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9228E6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23AFA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F511F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F954C8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E77401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213BB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13CF65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FF6CEFE">
            <w:pPr>
              <w:spacing w:before="0" w:after="0" w:line="240" w:lineRule="exact"/>
              <w:jc w:val="right"/>
              <w:rPr>
                <w:rFonts w:ascii="宋体" w:hAnsi="宋体" w:eastAsia="宋体" w:cs="宋体"/>
                <w:color w:val="auto"/>
                <w:sz w:val="18"/>
                <w:szCs w:val="18"/>
              </w:rPr>
            </w:pPr>
          </w:p>
        </w:tc>
      </w:tr>
      <w:tr w14:paraId="755B45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8EB89D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3．股份支付计入所有者权益的金额</w:t>
            </w:r>
          </w:p>
        </w:tc>
        <w:tc>
          <w:tcPr>
            <w:tcW w:w="703" w:type="dxa"/>
            <w:tcBorders>
              <w:top w:val="single" w:color="auto" w:sz="2" w:space="0"/>
              <w:left w:val="single" w:color="auto" w:sz="2" w:space="0"/>
              <w:bottom w:val="single" w:color="auto" w:sz="2" w:space="0"/>
              <w:right w:val="single" w:color="auto" w:sz="2" w:space="0"/>
            </w:tcBorders>
            <w:vAlign w:val="center"/>
          </w:tcPr>
          <w:p w14:paraId="48FEC96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2036EF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82F2F2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808B36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705D00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A53206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C16949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783A18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5D9FA9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06F9A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927F1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C7FCA9">
            <w:pPr>
              <w:spacing w:before="0" w:after="0" w:line="240" w:lineRule="exact"/>
              <w:jc w:val="right"/>
              <w:rPr>
                <w:rFonts w:ascii="宋体" w:hAnsi="宋体" w:eastAsia="宋体" w:cs="宋体"/>
                <w:color w:val="auto"/>
                <w:sz w:val="18"/>
                <w:szCs w:val="18"/>
              </w:rPr>
            </w:pPr>
          </w:p>
        </w:tc>
      </w:tr>
      <w:tr w14:paraId="3B5729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2016A2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4．其他</w:t>
            </w:r>
          </w:p>
        </w:tc>
        <w:tc>
          <w:tcPr>
            <w:tcW w:w="703" w:type="dxa"/>
            <w:tcBorders>
              <w:top w:val="single" w:color="auto" w:sz="2" w:space="0"/>
              <w:left w:val="single" w:color="auto" w:sz="2" w:space="0"/>
              <w:bottom w:val="single" w:color="auto" w:sz="2" w:space="0"/>
              <w:right w:val="single" w:color="auto" w:sz="2" w:space="0"/>
            </w:tcBorders>
            <w:vAlign w:val="center"/>
          </w:tcPr>
          <w:p w14:paraId="156BDD1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A5216D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4062E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FB24F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17EFC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704FEA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F6ED0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A9942C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408BB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6B180A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AEB22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1831EF9">
            <w:pPr>
              <w:spacing w:before="0" w:after="0" w:line="240" w:lineRule="exact"/>
              <w:jc w:val="right"/>
              <w:rPr>
                <w:rFonts w:ascii="宋体" w:hAnsi="宋体" w:eastAsia="宋体" w:cs="宋体"/>
                <w:color w:val="auto"/>
                <w:sz w:val="18"/>
                <w:szCs w:val="18"/>
              </w:rPr>
            </w:pPr>
          </w:p>
        </w:tc>
      </w:tr>
      <w:tr w14:paraId="6C32BE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480262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（三）利润分配</w:t>
            </w:r>
          </w:p>
        </w:tc>
        <w:tc>
          <w:tcPr>
            <w:tcW w:w="703" w:type="dxa"/>
            <w:tcBorders>
              <w:top w:val="single" w:color="auto" w:sz="2" w:space="0"/>
              <w:left w:val="single" w:color="auto" w:sz="2" w:space="0"/>
              <w:bottom w:val="single" w:color="auto" w:sz="2" w:space="0"/>
              <w:right w:val="single" w:color="auto" w:sz="2" w:space="0"/>
            </w:tcBorders>
            <w:vAlign w:val="center"/>
          </w:tcPr>
          <w:p w14:paraId="1F879D0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DDFA79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86F771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95BD6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DB7291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56E28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3142B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D1AE4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B0D3BC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9B4218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223B88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B2F850">
            <w:pPr>
              <w:spacing w:before="0" w:after="0" w:line="240" w:lineRule="exact"/>
              <w:jc w:val="right"/>
              <w:rPr>
                <w:rFonts w:ascii="宋体" w:hAnsi="宋体" w:eastAsia="宋体" w:cs="宋体"/>
                <w:color w:val="auto"/>
                <w:sz w:val="18"/>
                <w:szCs w:val="18"/>
              </w:rPr>
            </w:pPr>
          </w:p>
        </w:tc>
      </w:tr>
      <w:tr w14:paraId="29A75B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6462D6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1．提取盈余公积</w:t>
            </w:r>
          </w:p>
        </w:tc>
        <w:tc>
          <w:tcPr>
            <w:tcW w:w="703" w:type="dxa"/>
            <w:tcBorders>
              <w:top w:val="single" w:color="auto" w:sz="2" w:space="0"/>
              <w:left w:val="single" w:color="auto" w:sz="2" w:space="0"/>
              <w:bottom w:val="single" w:color="auto" w:sz="2" w:space="0"/>
              <w:right w:val="single" w:color="auto" w:sz="2" w:space="0"/>
            </w:tcBorders>
            <w:vAlign w:val="center"/>
          </w:tcPr>
          <w:p w14:paraId="2392581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B8BE4F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01D665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F1423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5EF70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147BE4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24524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F6ECCA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E5F45A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C9E107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0A7600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83C683">
            <w:pPr>
              <w:spacing w:before="0" w:after="0" w:line="240" w:lineRule="exact"/>
              <w:jc w:val="right"/>
              <w:rPr>
                <w:rFonts w:ascii="宋体" w:hAnsi="宋体" w:eastAsia="宋体" w:cs="宋体"/>
                <w:color w:val="auto"/>
                <w:sz w:val="18"/>
                <w:szCs w:val="18"/>
              </w:rPr>
            </w:pPr>
          </w:p>
        </w:tc>
      </w:tr>
      <w:tr w14:paraId="42A8F6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0395A98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2．对所有者（或股东）的分配</w:t>
            </w:r>
          </w:p>
        </w:tc>
        <w:tc>
          <w:tcPr>
            <w:tcW w:w="703" w:type="dxa"/>
            <w:tcBorders>
              <w:top w:val="single" w:color="auto" w:sz="2" w:space="0"/>
              <w:left w:val="single" w:color="auto" w:sz="2" w:space="0"/>
              <w:bottom w:val="single" w:color="auto" w:sz="2" w:space="0"/>
              <w:right w:val="single" w:color="auto" w:sz="2" w:space="0"/>
            </w:tcBorders>
            <w:vAlign w:val="center"/>
          </w:tcPr>
          <w:p w14:paraId="6945AA8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A30B7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F335A5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64BF51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F0CA09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91518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1DA5D5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93602B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D6E329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5CC17C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4A0DBE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105214">
            <w:pPr>
              <w:spacing w:before="0" w:after="0" w:line="240" w:lineRule="exact"/>
              <w:jc w:val="right"/>
              <w:rPr>
                <w:rFonts w:ascii="宋体" w:hAnsi="宋体" w:eastAsia="宋体" w:cs="宋体"/>
                <w:color w:val="auto"/>
                <w:sz w:val="18"/>
                <w:szCs w:val="18"/>
              </w:rPr>
            </w:pPr>
          </w:p>
        </w:tc>
      </w:tr>
      <w:tr w14:paraId="2338F4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345D29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3．其他</w:t>
            </w:r>
          </w:p>
        </w:tc>
        <w:tc>
          <w:tcPr>
            <w:tcW w:w="703" w:type="dxa"/>
            <w:tcBorders>
              <w:top w:val="single" w:color="auto" w:sz="2" w:space="0"/>
              <w:left w:val="single" w:color="auto" w:sz="2" w:space="0"/>
              <w:bottom w:val="single" w:color="auto" w:sz="2" w:space="0"/>
              <w:right w:val="single" w:color="auto" w:sz="2" w:space="0"/>
            </w:tcBorders>
            <w:vAlign w:val="center"/>
          </w:tcPr>
          <w:p w14:paraId="65A90A5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AC709B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927E7F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8BF43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9ABBA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93982C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AEA328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98BF3C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E58548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ACA715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A05569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3114C0">
            <w:pPr>
              <w:spacing w:before="0" w:after="0" w:line="240" w:lineRule="exact"/>
              <w:jc w:val="right"/>
              <w:rPr>
                <w:rFonts w:ascii="宋体" w:hAnsi="宋体" w:eastAsia="宋体" w:cs="宋体"/>
                <w:color w:val="auto"/>
                <w:sz w:val="18"/>
                <w:szCs w:val="18"/>
              </w:rPr>
            </w:pPr>
          </w:p>
        </w:tc>
      </w:tr>
      <w:tr w14:paraId="624DF7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11D900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（四）所有者权益内部结转</w:t>
            </w:r>
          </w:p>
        </w:tc>
        <w:tc>
          <w:tcPr>
            <w:tcW w:w="703" w:type="dxa"/>
            <w:tcBorders>
              <w:top w:val="single" w:color="auto" w:sz="2" w:space="0"/>
              <w:left w:val="single" w:color="auto" w:sz="2" w:space="0"/>
              <w:bottom w:val="single" w:color="auto" w:sz="2" w:space="0"/>
              <w:right w:val="single" w:color="auto" w:sz="2" w:space="0"/>
            </w:tcBorders>
            <w:vAlign w:val="center"/>
          </w:tcPr>
          <w:p w14:paraId="4A521AF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4114CC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CA000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87FBA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2910F7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BF644D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70DC9D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6E615E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89DC7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ED50A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5AD8C4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17ED766">
            <w:pPr>
              <w:spacing w:before="0" w:after="0" w:line="240" w:lineRule="exact"/>
              <w:jc w:val="right"/>
              <w:rPr>
                <w:rFonts w:ascii="宋体" w:hAnsi="宋体" w:eastAsia="宋体" w:cs="宋体"/>
                <w:color w:val="auto"/>
                <w:sz w:val="18"/>
                <w:szCs w:val="18"/>
              </w:rPr>
            </w:pPr>
          </w:p>
        </w:tc>
      </w:tr>
      <w:tr w14:paraId="56D551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36B2BE1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1．资本公积转增资本（或股本）</w:t>
            </w:r>
          </w:p>
        </w:tc>
        <w:tc>
          <w:tcPr>
            <w:tcW w:w="703" w:type="dxa"/>
            <w:tcBorders>
              <w:top w:val="single" w:color="auto" w:sz="2" w:space="0"/>
              <w:left w:val="single" w:color="auto" w:sz="2" w:space="0"/>
              <w:bottom w:val="single" w:color="auto" w:sz="2" w:space="0"/>
              <w:right w:val="single" w:color="auto" w:sz="2" w:space="0"/>
            </w:tcBorders>
            <w:vAlign w:val="center"/>
          </w:tcPr>
          <w:p w14:paraId="0340DF0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B65715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4220C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DDB01D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75A3DF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659E40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6942A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6DCCC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BCE96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E99412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47E56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38233AE">
            <w:pPr>
              <w:spacing w:before="0" w:after="0" w:line="240" w:lineRule="exact"/>
              <w:jc w:val="right"/>
              <w:rPr>
                <w:rFonts w:ascii="宋体" w:hAnsi="宋体" w:eastAsia="宋体" w:cs="宋体"/>
                <w:color w:val="auto"/>
                <w:sz w:val="18"/>
                <w:szCs w:val="18"/>
              </w:rPr>
            </w:pPr>
          </w:p>
        </w:tc>
      </w:tr>
      <w:tr w14:paraId="3E1A24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5830F8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2．盈余公积转增资本（或股本）</w:t>
            </w:r>
          </w:p>
        </w:tc>
        <w:tc>
          <w:tcPr>
            <w:tcW w:w="703" w:type="dxa"/>
            <w:tcBorders>
              <w:top w:val="single" w:color="auto" w:sz="2" w:space="0"/>
              <w:left w:val="single" w:color="auto" w:sz="2" w:space="0"/>
              <w:bottom w:val="single" w:color="auto" w:sz="2" w:space="0"/>
              <w:right w:val="single" w:color="auto" w:sz="2" w:space="0"/>
            </w:tcBorders>
            <w:vAlign w:val="center"/>
          </w:tcPr>
          <w:p w14:paraId="0D0D614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51E6F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B0360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B582DC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6B5956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BAB358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71E878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B50455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B6F5A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E87E39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4ABD02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EF4AC67">
            <w:pPr>
              <w:spacing w:before="0" w:after="0" w:line="240" w:lineRule="exact"/>
              <w:jc w:val="right"/>
              <w:rPr>
                <w:rFonts w:ascii="宋体" w:hAnsi="宋体" w:eastAsia="宋体" w:cs="宋体"/>
                <w:color w:val="auto"/>
                <w:sz w:val="18"/>
                <w:szCs w:val="18"/>
              </w:rPr>
            </w:pPr>
          </w:p>
        </w:tc>
      </w:tr>
      <w:tr w14:paraId="5EF07C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15BB52F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3．盈余公积弥补亏损</w:t>
            </w:r>
          </w:p>
        </w:tc>
        <w:tc>
          <w:tcPr>
            <w:tcW w:w="703" w:type="dxa"/>
            <w:tcBorders>
              <w:top w:val="single" w:color="auto" w:sz="2" w:space="0"/>
              <w:left w:val="single" w:color="auto" w:sz="2" w:space="0"/>
              <w:bottom w:val="single" w:color="auto" w:sz="2" w:space="0"/>
              <w:right w:val="single" w:color="auto" w:sz="2" w:space="0"/>
            </w:tcBorders>
            <w:vAlign w:val="center"/>
          </w:tcPr>
          <w:p w14:paraId="29A0207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676039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D141B0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25DC44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622B3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0400E4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F68109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E52423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E009A3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D30F07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343D5D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DAE8853">
            <w:pPr>
              <w:spacing w:before="0" w:after="0" w:line="240" w:lineRule="exact"/>
              <w:jc w:val="right"/>
              <w:rPr>
                <w:rFonts w:ascii="宋体" w:hAnsi="宋体" w:eastAsia="宋体" w:cs="宋体"/>
                <w:color w:val="auto"/>
                <w:sz w:val="18"/>
                <w:szCs w:val="18"/>
              </w:rPr>
            </w:pPr>
          </w:p>
        </w:tc>
      </w:tr>
      <w:tr w14:paraId="60832E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2434BC6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4．设定受益计划变动额结转留存收益</w:t>
            </w:r>
          </w:p>
        </w:tc>
        <w:tc>
          <w:tcPr>
            <w:tcW w:w="703" w:type="dxa"/>
            <w:tcBorders>
              <w:top w:val="single" w:color="auto" w:sz="2" w:space="0"/>
              <w:left w:val="single" w:color="auto" w:sz="2" w:space="0"/>
              <w:bottom w:val="single" w:color="auto" w:sz="2" w:space="0"/>
              <w:right w:val="single" w:color="auto" w:sz="2" w:space="0"/>
            </w:tcBorders>
            <w:vAlign w:val="center"/>
          </w:tcPr>
          <w:p w14:paraId="504E34A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616ED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D0F106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D61FDD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FEB09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3753C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8E334C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BF8D31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84CB69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34DB1D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B0EBB4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9C906B9">
            <w:pPr>
              <w:spacing w:before="0" w:after="0" w:line="240" w:lineRule="exact"/>
              <w:jc w:val="right"/>
              <w:rPr>
                <w:rFonts w:ascii="宋体" w:hAnsi="宋体" w:eastAsia="宋体" w:cs="宋体"/>
                <w:color w:val="auto"/>
                <w:sz w:val="18"/>
                <w:szCs w:val="18"/>
              </w:rPr>
            </w:pPr>
          </w:p>
        </w:tc>
      </w:tr>
      <w:tr w14:paraId="0475D5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67AB20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5．其他综合收益结转留存收益</w:t>
            </w:r>
          </w:p>
        </w:tc>
        <w:tc>
          <w:tcPr>
            <w:tcW w:w="703" w:type="dxa"/>
            <w:tcBorders>
              <w:top w:val="single" w:color="auto" w:sz="2" w:space="0"/>
              <w:left w:val="single" w:color="auto" w:sz="2" w:space="0"/>
              <w:bottom w:val="single" w:color="auto" w:sz="2" w:space="0"/>
              <w:right w:val="single" w:color="auto" w:sz="2" w:space="0"/>
            </w:tcBorders>
            <w:vAlign w:val="center"/>
          </w:tcPr>
          <w:p w14:paraId="0B501DC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35CDE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29745F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4E370A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8A078B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FE341A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787487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976FEA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FBA1A9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AEC71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0FFC69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553B1B0">
            <w:pPr>
              <w:spacing w:before="0" w:after="0" w:line="240" w:lineRule="exact"/>
              <w:jc w:val="right"/>
              <w:rPr>
                <w:rFonts w:ascii="宋体" w:hAnsi="宋体" w:eastAsia="宋体" w:cs="宋体"/>
                <w:color w:val="auto"/>
                <w:sz w:val="18"/>
                <w:szCs w:val="18"/>
              </w:rPr>
            </w:pPr>
          </w:p>
        </w:tc>
      </w:tr>
      <w:tr w14:paraId="2FD635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E0441A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6．其他</w:t>
            </w:r>
          </w:p>
        </w:tc>
        <w:tc>
          <w:tcPr>
            <w:tcW w:w="703" w:type="dxa"/>
            <w:tcBorders>
              <w:top w:val="single" w:color="auto" w:sz="2" w:space="0"/>
              <w:left w:val="single" w:color="auto" w:sz="2" w:space="0"/>
              <w:bottom w:val="single" w:color="auto" w:sz="2" w:space="0"/>
              <w:right w:val="single" w:color="auto" w:sz="2" w:space="0"/>
            </w:tcBorders>
            <w:vAlign w:val="center"/>
          </w:tcPr>
          <w:p w14:paraId="12C2CCA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4C2348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400DFE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375D4B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116BF8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941E24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EBD982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DD136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E62C65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E95CA2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9C1783C">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159106A">
            <w:pPr>
              <w:spacing w:before="0" w:after="0" w:line="240" w:lineRule="exact"/>
              <w:jc w:val="right"/>
              <w:rPr>
                <w:rFonts w:ascii="宋体" w:hAnsi="宋体" w:eastAsia="宋体" w:cs="宋体"/>
                <w:color w:val="auto"/>
                <w:sz w:val="18"/>
                <w:szCs w:val="18"/>
              </w:rPr>
            </w:pPr>
          </w:p>
        </w:tc>
      </w:tr>
      <w:tr w14:paraId="1F285D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D9961A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（五）专项储备</w:t>
            </w:r>
          </w:p>
        </w:tc>
        <w:tc>
          <w:tcPr>
            <w:tcW w:w="703" w:type="dxa"/>
            <w:tcBorders>
              <w:top w:val="single" w:color="auto" w:sz="2" w:space="0"/>
              <w:left w:val="single" w:color="auto" w:sz="2" w:space="0"/>
              <w:bottom w:val="single" w:color="auto" w:sz="2" w:space="0"/>
              <w:right w:val="single" w:color="auto" w:sz="2" w:space="0"/>
            </w:tcBorders>
            <w:vAlign w:val="center"/>
          </w:tcPr>
          <w:p w14:paraId="27A8EB5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308A0D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2FD449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93A6AC2">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EC1501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BD45C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A14803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088A0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B34D66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4D9FBB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36888A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E3F704E">
            <w:pPr>
              <w:spacing w:before="0" w:after="0" w:line="240" w:lineRule="exact"/>
              <w:jc w:val="right"/>
              <w:rPr>
                <w:rFonts w:ascii="宋体" w:hAnsi="宋体" w:eastAsia="宋体" w:cs="宋体"/>
                <w:color w:val="auto"/>
                <w:sz w:val="18"/>
                <w:szCs w:val="18"/>
              </w:rPr>
            </w:pPr>
          </w:p>
        </w:tc>
      </w:tr>
      <w:tr w14:paraId="1B4CD4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4B0C44B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1．本期提取</w:t>
            </w:r>
          </w:p>
        </w:tc>
        <w:tc>
          <w:tcPr>
            <w:tcW w:w="703" w:type="dxa"/>
            <w:tcBorders>
              <w:top w:val="single" w:color="auto" w:sz="2" w:space="0"/>
              <w:left w:val="single" w:color="auto" w:sz="2" w:space="0"/>
              <w:bottom w:val="single" w:color="auto" w:sz="2" w:space="0"/>
              <w:right w:val="single" w:color="auto" w:sz="2" w:space="0"/>
            </w:tcBorders>
            <w:vAlign w:val="center"/>
          </w:tcPr>
          <w:p w14:paraId="2400787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56B73A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8B066C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83F8D6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DF7DEA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7141B5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8E1E33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A08810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0756F6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387990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4D6C8F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6AE480E">
            <w:pPr>
              <w:spacing w:before="0" w:after="0" w:line="240" w:lineRule="exact"/>
              <w:jc w:val="right"/>
              <w:rPr>
                <w:rFonts w:ascii="宋体" w:hAnsi="宋体" w:eastAsia="宋体" w:cs="宋体"/>
                <w:color w:val="auto"/>
                <w:sz w:val="18"/>
                <w:szCs w:val="18"/>
              </w:rPr>
            </w:pPr>
          </w:p>
        </w:tc>
      </w:tr>
      <w:tr w14:paraId="4AB9D6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7D1FA4B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2．本期使用</w:t>
            </w:r>
          </w:p>
        </w:tc>
        <w:tc>
          <w:tcPr>
            <w:tcW w:w="703" w:type="dxa"/>
            <w:tcBorders>
              <w:top w:val="single" w:color="auto" w:sz="2" w:space="0"/>
              <w:left w:val="single" w:color="auto" w:sz="2" w:space="0"/>
              <w:bottom w:val="single" w:color="auto" w:sz="2" w:space="0"/>
              <w:right w:val="single" w:color="auto" w:sz="2" w:space="0"/>
            </w:tcBorders>
            <w:vAlign w:val="center"/>
          </w:tcPr>
          <w:p w14:paraId="5DAC896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62F6EB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03074BE">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F5E650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35572C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320249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630444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2BA90C4">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340A32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680E02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A58641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54E7088">
            <w:pPr>
              <w:spacing w:before="0" w:after="0" w:line="240" w:lineRule="exact"/>
              <w:jc w:val="right"/>
              <w:rPr>
                <w:rFonts w:ascii="宋体" w:hAnsi="宋体" w:eastAsia="宋体" w:cs="宋体"/>
                <w:color w:val="auto"/>
                <w:sz w:val="18"/>
                <w:szCs w:val="18"/>
              </w:rPr>
            </w:pPr>
          </w:p>
        </w:tc>
      </w:tr>
      <w:tr w14:paraId="434009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A3D082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（六）其他</w:t>
            </w:r>
          </w:p>
        </w:tc>
        <w:tc>
          <w:tcPr>
            <w:tcW w:w="703" w:type="dxa"/>
            <w:tcBorders>
              <w:top w:val="single" w:color="auto" w:sz="2" w:space="0"/>
              <w:left w:val="single" w:color="auto" w:sz="2" w:space="0"/>
              <w:bottom w:val="single" w:color="auto" w:sz="2" w:space="0"/>
              <w:right w:val="single" w:color="auto" w:sz="2" w:space="0"/>
            </w:tcBorders>
            <w:vAlign w:val="center"/>
          </w:tcPr>
          <w:p w14:paraId="1C74DD9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97977AB">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D2B45A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576CF65">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31F656F9">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F9FD496">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2DC5F1A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F176E8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29C0E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8133473">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ED02DF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1A0F83CE">
            <w:pPr>
              <w:spacing w:before="0" w:after="0" w:line="240" w:lineRule="exact"/>
              <w:jc w:val="right"/>
              <w:rPr>
                <w:rFonts w:ascii="宋体" w:hAnsi="宋体" w:eastAsia="宋体" w:cs="宋体"/>
                <w:color w:val="auto"/>
                <w:sz w:val="18"/>
                <w:szCs w:val="18"/>
              </w:rPr>
            </w:pPr>
          </w:p>
        </w:tc>
      </w:tr>
      <w:tr w14:paraId="0FC2DF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0" w:type="dxa"/>
            <w:tcBorders>
              <w:top w:val="single" w:color="auto" w:sz="2" w:space="0"/>
              <w:left w:val="single" w:color="auto" w:sz="2" w:space="0"/>
              <w:bottom w:val="single" w:color="auto" w:sz="2" w:space="0"/>
              <w:right w:val="single" w:color="auto" w:sz="2" w:space="0"/>
            </w:tcBorders>
            <w:shd w:val="clear" w:color="auto" w:fill="D3D3D3"/>
            <w:vAlign w:val="center"/>
          </w:tcPr>
          <w:p w14:paraId="5B5A5CC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四、本期期末余额</w:t>
            </w:r>
          </w:p>
        </w:tc>
        <w:tc>
          <w:tcPr>
            <w:tcW w:w="703" w:type="dxa"/>
            <w:tcBorders>
              <w:top w:val="single" w:color="auto" w:sz="2" w:space="0"/>
              <w:left w:val="single" w:color="auto" w:sz="2" w:space="0"/>
              <w:bottom w:val="single" w:color="auto" w:sz="2" w:space="0"/>
              <w:right w:val="single" w:color="auto" w:sz="2" w:space="0"/>
            </w:tcBorders>
            <w:vAlign w:val="center"/>
          </w:tcPr>
          <w:p w14:paraId="2328B0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703" w:type="dxa"/>
            <w:tcBorders>
              <w:top w:val="single" w:color="auto" w:sz="2" w:space="0"/>
              <w:left w:val="single" w:color="auto" w:sz="2" w:space="0"/>
              <w:bottom w:val="single" w:color="auto" w:sz="2" w:space="0"/>
              <w:right w:val="single" w:color="auto" w:sz="2" w:space="0"/>
            </w:tcBorders>
            <w:vAlign w:val="center"/>
          </w:tcPr>
          <w:p w14:paraId="04FCC4FA">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A769A78">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01281770">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9DB31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675,753,512.82</w:t>
            </w:r>
          </w:p>
        </w:tc>
        <w:tc>
          <w:tcPr>
            <w:tcW w:w="703" w:type="dxa"/>
            <w:tcBorders>
              <w:top w:val="single" w:color="auto" w:sz="2" w:space="0"/>
              <w:left w:val="single" w:color="auto" w:sz="2" w:space="0"/>
              <w:bottom w:val="single" w:color="auto" w:sz="2" w:space="0"/>
              <w:right w:val="single" w:color="auto" w:sz="2" w:space="0"/>
            </w:tcBorders>
            <w:vAlign w:val="center"/>
          </w:tcPr>
          <w:p w14:paraId="5CBA0B5F">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53D70C71">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6CC15DA7">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7ADCE30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703" w:type="dxa"/>
            <w:tcBorders>
              <w:top w:val="single" w:color="auto" w:sz="2" w:space="0"/>
              <w:left w:val="single" w:color="auto" w:sz="2" w:space="0"/>
              <w:bottom w:val="single" w:color="auto" w:sz="2" w:space="0"/>
              <w:right w:val="single" w:color="auto" w:sz="2" w:space="0"/>
            </w:tcBorders>
            <w:vAlign w:val="center"/>
          </w:tcPr>
          <w:p w14:paraId="01CD91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243,659,755.69</w:t>
            </w:r>
          </w:p>
        </w:tc>
        <w:tc>
          <w:tcPr>
            <w:tcW w:w="703" w:type="dxa"/>
            <w:tcBorders>
              <w:top w:val="single" w:color="auto" w:sz="2" w:space="0"/>
              <w:left w:val="single" w:color="auto" w:sz="2" w:space="0"/>
              <w:bottom w:val="single" w:color="auto" w:sz="2" w:space="0"/>
              <w:right w:val="single" w:color="auto" w:sz="2" w:space="0"/>
            </w:tcBorders>
            <w:vAlign w:val="center"/>
          </w:tcPr>
          <w:p w14:paraId="0025B75D">
            <w:pPr>
              <w:spacing w:before="0" w:after="0" w:line="240" w:lineRule="exact"/>
              <w:jc w:val="right"/>
              <w:rPr>
                <w:rFonts w:ascii="宋体" w:hAnsi="宋体" w:eastAsia="宋体" w:cs="宋体"/>
                <w:color w:val="auto"/>
                <w:sz w:val="18"/>
                <w:szCs w:val="18"/>
              </w:rPr>
            </w:pPr>
          </w:p>
        </w:tc>
        <w:tc>
          <w:tcPr>
            <w:tcW w:w="703" w:type="dxa"/>
            <w:tcBorders>
              <w:top w:val="single" w:color="auto" w:sz="2" w:space="0"/>
              <w:left w:val="single" w:color="auto" w:sz="2" w:space="0"/>
              <w:bottom w:val="single" w:color="auto" w:sz="2" w:space="0"/>
              <w:right w:val="single" w:color="auto" w:sz="2" w:space="0"/>
            </w:tcBorders>
            <w:vAlign w:val="center"/>
          </w:tcPr>
          <w:p w14:paraId="471D701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1,123,074,101.82</w:t>
            </w:r>
          </w:p>
        </w:tc>
      </w:tr>
    </w:tbl>
    <w:p w14:paraId="0A60F5DE">
      <w:pPr>
        <w:keepNext/>
        <w:keepLines/>
        <w:spacing w:before="300" w:after="300" w:line="320" w:lineRule="exact"/>
        <w:jc w:val="left"/>
        <w:outlineLvl w:val="1"/>
        <w:rPr>
          <w:rFonts w:ascii="宋体" w:hAnsi="宋体" w:eastAsia="宋体" w:cs="宋体"/>
          <w:b/>
          <w:bCs/>
          <w:color w:val="auto"/>
          <w:sz w:val="24"/>
          <w:szCs w:val="24"/>
        </w:rPr>
      </w:pPr>
      <w:bookmarkStart w:id="11" w:name="_Toc988987"/>
      <w:r>
        <w:rPr>
          <w:rFonts w:ascii="宋体" w:hAnsi="宋体" w:eastAsia="宋体" w:cs="宋体"/>
          <w:b/>
          <w:bCs/>
          <w:color w:val="auto"/>
          <w:sz w:val="24"/>
          <w:szCs w:val="24"/>
        </w:rPr>
        <w:t>三、公司基本情况</w:t>
      </w:r>
      <w:bookmarkEnd w:id="11"/>
    </w:p>
    <w:p w14:paraId="19AAA224">
      <w:pPr>
        <w:pStyle w:val="4"/>
        <w:keepNext w:val="0"/>
        <w:keepLines w:val="0"/>
        <w:widowControl/>
        <w:suppressLineNumbers w:val="0"/>
        <w:spacing w:before="0" w:beforeAutospacing="0" w:after="0" w:afterAutospacing="0"/>
        <w:ind w:left="560"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(一)公司注册地、组织形式和总部地址</w:t>
      </w:r>
    </w:p>
    <w:p w14:paraId="33B41759">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436BB0B3">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福建广生堂药业股份有限公司（以下简称“公司”或“本公司”）由福建广生堂药业有限公司整体变更设立的股份有限公司。</w:t>
      </w:r>
    </w:p>
    <w:p w14:paraId="0DEAB0E0">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2015年4月，经中国证券监督管理委员会《关于核准福建广生堂股份有限公司首次公开发行股票的批复》（证监许可字【2015】537号）核准，公司向境内投资者首次发行1,750万股人民币普通股A股股票，其中转让老股350万股、发行新股1,400万股，并于2015年4月22日在深圳证券交易所上市交易。</w:t>
      </w:r>
    </w:p>
    <w:p w14:paraId="64D378FB">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2021年，经中国证券监督管理委员会《关于同意福建广生堂药业股份有限公司向特定对象发行股票注册的批复》（证监许可[2020]2748号）核准，公司于2021年6月向特定对象发行股票1,877.7万股，新增股份于2021年7月9日上市。</w:t>
      </w:r>
    </w:p>
    <w:p w14:paraId="018E7390">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2022年1月14日，根据本公司2020年第二次临时股东大会审议通过的《关于〈2020年股票期权激励计划（草案）〉及其摘要的议案》、《关于〈2020年股票期权激励计划实施考核管理办法〉的议案》、《关于提请股东大会授权董事会办理2020年股票期权激励计划有关事项的议案》等议案，第四届董事会第十次会议审议通过《关于2020年股票期权激励计划第一个行权期行权条件成就的议案》，同意22名符合股票期权激励计划行权条件的激励对象的798,000份股票期权予以行权，行权价格为每股人民币31.23元，行权截止日期为2022年5月11日。本次共有18名激励对象共计490,000份股票期权行权，共计收到行权款人民币15,302,700.00元，其中计入股本490,000.00元，计入资本公积14,812,700.00元。经此行权，注册资本变更为人民币159,267,000.00元。</w:t>
      </w:r>
    </w:p>
    <w:p w14:paraId="68D4F1B8">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截止2025年06月30日，公司注册资本、实收资本均为15,926.70万元，统一社会信用代码：913500007297027606，注册地址：福建省宁德市柘荣县富源工业园区1-7幢，办公地址：福建省福州市闽侯县福州高新区乌龙江中大道7号海西高新技术产业园创新园二期16号楼，公司法定代表人：李国平。</w:t>
      </w:r>
    </w:p>
    <w:p w14:paraId="420BC356">
      <w:pPr>
        <w:pStyle w:val="4"/>
        <w:keepNext w:val="0"/>
        <w:keepLines w:val="0"/>
        <w:widowControl/>
        <w:suppressLineNumbers w:val="0"/>
        <w:spacing w:before="71" w:beforeAutospacing="0" w:after="0" w:afterAutospacing="0"/>
        <w:ind w:left="560"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(二)公司业务性质和主要经营活动</w:t>
      </w:r>
    </w:p>
    <w:p w14:paraId="03BFCAE2">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1DAEF04C">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属医药制造业，营业执照经营范围：许可项目：药品生产；药品批发；药品零售；食品销售；食品生产；保健食品生产；药品进出口；药品互联网信息服务。(依法须经批准的项目，经相关部门批准后方可开展经营活动，具体经营项目以相关部门批准文件或许可证件为准)一般项目：医学研究和试验发展；保健食品(预包装)销售；技术服务、技术开发、技术咨询、技术交流、技术转让、技术推广；技术进出口；货物进出口。(除依法须经批准的项目外，凭营业执照依法自主开展经营活动)。</w:t>
      </w:r>
    </w:p>
    <w:p w14:paraId="3AD5C73E">
      <w:pPr>
        <w:pStyle w:val="4"/>
        <w:keepNext w:val="0"/>
        <w:keepLines w:val="0"/>
        <w:widowControl/>
        <w:suppressLineNumbers w:val="0"/>
        <w:spacing w:before="156" w:beforeAutospacing="0" w:after="0" w:afterAutospacing="0"/>
        <w:ind w:left="560"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(三)合并财务报表范围</w:t>
      </w:r>
    </w:p>
    <w:p w14:paraId="6481D623">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 </w:t>
      </w:r>
    </w:p>
    <w:p w14:paraId="3B834B0D">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本公司本期纳入合并范围的子公司共13户，详见附注八、在其他主体中的权益。本期纳入合并财务报表范围的主体较上期相比，增加0户，合并范围变更主体的具体信息详见附注七、合并范围的变更。</w:t>
      </w:r>
    </w:p>
    <w:p w14:paraId="6B6BE110">
      <w:pPr>
        <w:pStyle w:val="4"/>
        <w:keepNext w:val="0"/>
        <w:keepLines w:val="0"/>
        <w:widowControl/>
        <w:suppressLineNumbers w:val="0"/>
        <w:spacing w:before="156" w:beforeAutospacing="0" w:after="0" w:afterAutospacing="0"/>
        <w:ind w:left="560"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(四)财务报表的批准报出</w:t>
      </w:r>
    </w:p>
    <w:p w14:paraId="3E99FFDF">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381966BE">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本财务报表业经公司董事会于2025年</w:t>
      </w:r>
      <w:r>
        <w:rPr>
          <w:rFonts w:hint="eastAsia" w:ascii="宋体" w:hAnsi="宋体" w:cs="宋体"/>
          <w:color w:val="auto"/>
          <w:sz w:val="21"/>
          <w:szCs w:val="21"/>
          <w:lang w:val="en-US" w:eastAsia="zh-CN"/>
        </w:rPr>
        <w:t>8</w:t>
      </w:r>
      <w:r>
        <w:rPr>
          <w:rFonts w:hint="eastAsia" w:ascii="宋体" w:hAnsi="宋体" w:eastAsia="宋体" w:cs="宋体"/>
          <w:color w:val="auto"/>
          <w:sz w:val="21"/>
          <w:szCs w:val="21"/>
        </w:rPr>
        <w:t>月</w:t>
      </w:r>
      <w:r>
        <w:rPr>
          <w:rFonts w:hint="eastAsia" w:ascii="宋体" w:hAnsi="宋体" w:cs="宋体"/>
          <w:color w:val="auto"/>
          <w:sz w:val="21"/>
          <w:szCs w:val="21"/>
          <w:lang w:val="en-US" w:eastAsia="zh-CN"/>
        </w:rPr>
        <w:t>20</w:t>
      </w:r>
      <w:r>
        <w:rPr>
          <w:rFonts w:hint="eastAsia" w:ascii="宋体" w:hAnsi="宋体" w:eastAsia="宋体" w:cs="宋体"/>
          <w:color w:val="auto"/>
          <w:sz w:val="21"/>
          <w:szCs w:val="21"/>
        </w:rPr>
        <w:t>日批准报出。</w:t>
      </w:r>
    </w:p>
    <w:p w14:paraId="45641275">
      <w:pPr>
        <w:keepNext/>
        <w:keepLines/>
        <w:spacing w:before="300" w:after="300" w:line="320" w:lineRule="exact"/>
        <w:jc w:val="left"/>
        <w:outlineLvl w:val="1"/>
        <w:rPr>
          <w:rFonts w:ascii="宋体" w:hAnsi="宋体" w:eastAsia="宋体" w:cs="宋体"/>
          <w:b/>
          <w:bCs/>
          <w:color w:val="auto"/>
          <w:sz w:val="24"/>
          <w:szCs w:val="24"/>
        </w:rPr>
      </w:pPr>
      <w:bookmarkStart w:id="12" w:name="_Toc988988"/>
      <w:r>
        <w:rPr>
          <w:rFonts w:ascii="宋体" w:hAnsi="宋体" w:eastAsia="宋体" w:cs="宋体"/>
          <w:b/>
          <w:bCs/>
          <w:color w:val="auto"/>
          <w:sz w:val="24"/>
          <w:szCs w:val="24"/>
        </w:rPr>
        <w:t>四、财务报表的编制基础</w:t>
      </w:r>
      <w:bookmarkEnd w:id="12"/>
    </w:p>
    <w:p w14:paraId="40CB8D30">
      <w:pPr>
        <w:keepNext/>
        <w:keepLines/>
        <w:spacing w:before="300" w:after="300" w:line="280" w:lineRule="exact"/>
        <w:jc w:val="left"/>
        <w:outlineLvl w:val="2"/>
        <w:rPr>
          <w:rFonts w:ascii="宋体" w:hAnsi="宋体" w:eastAsia="宋体" w:cs="宋体"/>
          <w:b/>
          <w:bCs/>
          <w:color w:val="auto"/>
          <w:sz w:val="21"/>
          <w:szCs w:val="21"/>
        </w:rPr>
      </w:pPr>
      <w:bookmarkStart w:id="13" w:name="_Toc988989"/>
      <w:r>
        <w:rPr>
          <w:rFonts w:ascii="宋体" w:hAnsi="宋体" w:eastAsia="宋体" w:cs="宋体"/>
          <w:b/>
          <w:bCs/>
          <w:color w:val="auto"/>
          <w:sz w:val="21"/>
          <w:szCs w:val="21"/>
        </w:rPr>
        <w:t>1、编制基础</w:t>
      </w:r>
      <w:bookmarkEnd w:id="13"/>
    </w:p>
    <w:p w14:paraId="61745902">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根据实际发生的交易和事项，按照财政部颁布的《企业会计准则——基本准则》和具体企业会计准则、企业会计准则应用指南、企业会计准则解释及其他相关规定（以下合称“企业会计准则”）进行确认和计量，在此基础上，结合中国证券监督管理委员会《公开发行证券的公司信息披露编报规则第15号——财务报告的一般规定》的规定，编制财务报表。</w:t>
      </w:r>
    </w:p>
    <w:p w14:paraId="57A17DD8">
      <w:pPr>
        <w:keepNext/>
        <w:keepLines/>
        <w:spacing w:before="300" w:after="300" w:line="280" w:lineRule="exact"/>
        <w:jc w:val="left"/>
        <w:outlineLvl w:val="2"/>
        <w:rPr>
          <w:rFonts w:ascii="宋体" w:hAnsi="宋体" w:eastAsia="宋体" w:cs="宋体"/>
          <w:b/>
          <w:bCs/>
          <w:color w:val="auto"/>
          <w:sz w:val="21"/>
          <w:szCs w:val="21"/>
        </w:rPr>
      </w:pPr>
      <w:bookmarkStart w:id="14" w:name="_Toc988990"/>
      <w:r>
        <w:rPr>
          <w:rFonts w:ascii="宋体" w:hAnsi="宋体" w:eastAsia="宋体" w:cs="宋体"/>
          <w:b/>
          <w:bCs/>
          <w:color w:val="auto"/>
          <w:sz w:val="21"/>
          <w:szCs w:val="21"/>
        </w:rPr>
        <w:t>2、持续经营</w:t>
      </w:r>
      <w:bookmarkEnd w:id="14"/>
    </w:p>
    <w:p w14:paraId="709D4479">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公司近三个年度大额研发投入等因素导致连续亏损，截止2025年6月30日，合并资产负债率76.15%，其中控股子公司广生中霖首轮融资本息确认的其他非流动负债金额为2.64亿元，使得合并资产负债率提升19.34%。资金方面，公司报表日后一年内应归还的金融机构借款2.91亿元，因公司期末尚存可支配资金0.79亿元，另有未使用的授信额度1.08亿元且期后已与多家银行机构达成续贷约定；经营方面，公司将继续加大医院准入及渠道下沉提升既有产品业绩，同时，公司通过引进圆山基金为战投，借助与漳州大健康产业的战略合作推进公司在中药大健康领域的战略布局,新增中药产品的品牌合作为公司销售上升提供助力、且公司的主要客户为大型医药集团公司等，该等客户具有可靠及良好的信誉回款情形一直较好，可以维持本公司的持续经营，公司自报告年末起至少12个月内具有持续经营能力，因此本财务报表系在持续经营假设的基础上编制。</w:t>
      </w:r>
    </w:p>
    <w:p w14:paraId="30AE259E">
      <w:pPr>
        <w:keepNext/>
        <w:keepLines/>
        <w:spacing w:before="300" w:after="300" w:line="560" w:lineRule="exact"/>
        <w:jc w:val="left"/>
        <w:outlineLvl w:val="1"/>
        <w:rPr>
          <w:rFonts w:ascii="宋体" w:hAnsi="宋体" w:eastAsia="宋体" w:cs="宋体"/>
          <w:b/>
          <w:bCs/>
          <w:color w:val="auto"/>
          <w:sz w:val="24"/>
          <w:szCs w:val="24"/>
        </w:rPr>
      </w:pPr>
      <w:bookmarkStart w:id="15" w:name="_Toc988991"/>
      <w:r>
        <w:rPr>
          <w:rFonts w:ascii="宋体" w:hAnsi="宋体" w:eastAsia="宋体" w:cs="宋体"/>
          <w:b/>
          <w:bCs/>
          <w:color w:val="auto"/>
          <w:sz w:val="24"/>
          <w:szCs w:val="24"/>
        </w:rPr>
        <w:t>五、重要会计政策及会计估计</w:t>
      </w:r>
      <w:bookmarkEnd w:id="15"/>
    </w:p>
    <w:p w14:paraId="5A16C02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具体会计政策和会计估计提示：</w:t>
      </w:r>
    </w:p>
    <w:p w14:paraId="47EC6752">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公司根据自身生产经营特点，确定具体会计政策和会计估计，主要会计政策和会计估计参见本附注（十四）应收账款、（二十五）2无形资产的后续计量和3.4开发阶段支出符合资本化的具体标准、（三十三）收入。</w:t>
      </w:r>
    </w:p>
    <w:p w14:paraId="502DF588">
      <w:pPr>
        <w:keepNext/>
        <w:keepLines/>
        <w:spacing w:before="300" w:after="300" w:line="280" w:lineRule="exact"/>
        <w:jc w:val="left"/>
        <w:outlineLvl w:val="2"/>
        <w:rPr>
          <w:rFonts w:ascii="宋体" w:hAnsi="宋体" w:eastAsia="宋体" w:cs="宋体"/>
          <w:b/>
          <w:bCs/>
          <w:color w:val="auto"/>
          <w:sz w:val="21"/>
          <w:szCs w:val="21"/>
        </w:rPr>
      </w:pPr>
      <w:bookmarkStart w:id="16" w:name="_Toc988992"/>
      <w:r>
        <w:rPr>
          <w:rFonts w:ascii="宋体" w:hAnsi="宋体" w:eastAsia="宋体" w:cs="宋体"/>
          <w:b/>
          <w:bCs/>
          <w:color w:val="auto"/>
          <w:sz w:val="21"/>
          <w:szCs w:val="21"/>
        </w:rPr>
        <w:t>1、遵循企业会计准则的声明</w:t>
      </w:r>
      <w:bookmarkEnd w:id="16"/>
    </w:p>
    <w:p w14:paraId="782DC98A">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本公司所编制的财务报表符合企业会计准则的要求，真实、完整地反映了报告期公司的财务状况、经营成果、现金流量等有关信息。</w:t>
      </w:r>
    </w:p>
    <w:p w14:paraId="6812942C">
      <w:pPr>
        <w:keepNext/>
        <w:keepLines/>
        <w:spacing w:before="300" w:after="300" w:line="280" w:lineRule="exact"/>
        <w:jc w:val="left"/>
        <w:outlineLvl w:val="2"/>
        <w:rPr>
          <w:rFonts w:ascii="宋体" w:hAnsi="宋体" w:eastAsia="宋体" w:cs="宋体"/>
          <w:b/>
          <w:bCs/>
          <w:color w:val="auto"/>
          <w:sz w:val="21"/>
          <w:szCs w:val="21"/>
        </w:rPr>
      </w:pPr>
      <w:bookmarkStart w:id="17" w:name="_Toc988993"/>
      <w:r>
        <w:rPr>
          <w:rFonts w:ascii="宋体" w:hAnsi="宋体" w:eastAsia="宋体" w:cs="宋体"/>
          <w:b/>
          <w:bCs/>
          <w:color w:val="auto"/>
          <w:sz w:val="21"/>
          <w:szCs w:val="21"/>
        </w:rPr>
        <w:t>2、会计期间</w:t>
      </w:r>
      <w:bookmarkEnd w:id="17"/>
    </w:p>
    <w:p w14:paraId="301FBADA">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自公历1月1日至12月31日止为一个会计年度。</w:t>
      </w:r>
    </w:p>
    <w:p w14:paraId="5C790B24">
      <w:pPr>
        <w:keepNext/>
        <w:keepLines/>
        <w:spacing w:before="300" w:after="300" w:line="280" w:lineRule="exact"/>
        <w:jc w:val="left"/>
        <w:outlineLvl w:val="2"/>
        <w:rPr>
          <w:rFonts w:ascii="宋体" w:hAnsi="宋体" w:eastAsia="宋体" w:cs="宋体"/>
          <w:b/>
          <w:bCs/>
          <w:color w:val="auto"/>
          <w:sz w:val="21"/>
          <w:szCs w:val="21"/>
        </w:rPr>
      </w:pPr>
      <w:bookmarkStart w:id="18" w:name="_Toc988994"/>
      <w:r>
        <w:rPr>
          <w:rFonts w:ascii="宋体" w:hAnsi="宋体" w:eastAsia="宋体" w:cs="宋体"/>
          <w:b/>
          <w:bCs/>
          <w:color w:val="auto"/>
          <w:sz w:val="21"/>
          <w:szCs w:val="21"/>
        </w:rPr>
        <w:t>3、营业周期</w:t>
      </w:r>
      <w:bookmarkEnd w:id="18"/>
    </w:p>
    <w:p w14:paraId="0895B0E3">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营业周期是指企业从购买用于加工的资产起至实现现金或现金等价物的期间。本公司以12个月作为一个营业周期，并以其作为资产和负债的流动性划分标准。</w:t>
      </w:r>
    </w:p>
    <w:p w14:paraId="0920557F">
      <w:pPr>
        <w:keepNext/>
        <w:keepLines/>
        <w:spacing w:before="300" w:after="300" w:line="280" w:lineRule="exact"/>
        <w:jc w:val="left"/>
        <w:outlineLvl w:val="2"/>
        <w:rPr>
          <w:rFonts w:ascii="宋体" w:hAnsi="宋体" w:eastAsia="宋体" w:cs="宋体"/>
          <w:b/>
          <w:bCs/>
          <w:color w:val="auto"/>
          <w:sz w:val="21"/>
          <w:szCs w:val="21"/>
        </w:rPr>
      </w:pPr>
      <w:bookmarkStart w:id="19" w:name="_Toc988995"/>
      <w:r>
        <w:rPr>
          <w:rFonts w:ascii="宋体" w:hAnsi="宋体" w:eastAsia="宋体" w:cs="宋体"/>
          <w:b/>
          <w:bCs/>
          <w:color w:val="auto"/>
          <w:sz w:val="21"/>
          <w:szCs w:val="21"/>
        </w:rPr>
        <w:t>4、记账本位币</w:t>
      </w:r>
      <w:bookmarkEnd w:id="19"/>
    </w:p>
    <w:p w14:paraId="278CDBF7">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采用人民币为记账本位币。</w:t>
      </w:r>
    </w:p>
    <w:p w14:paraId="72D11DAF">
      <w:pPr>
        <w:keepNext/>
        <w:keepLines/>
        <w:spacing w:before="300" w:after="300" w:line="280" w:lineRule="exact"/>
        <w:jc w:val="left"/>
        <w:outlineLvl w:val="2"/>
        <w:rPr>
          <w:rFonts w:ascii="宋体" w:hAnsi="宋体" w:eastAsia="宋体" w:cs="宋体"/>
          <w:b/>
          <w:bCs/>
          <w:color w:val="auto"/>
          <w:sz w:val="21"/>
          <w:szCs w:val="21"/>
        </w:rPr>
      </w:pPr>
      <w:bookmarkStart w:id="20" w:name="_Toc988996"/>
      <w:r>
        <w:rPr>
          <w:rFonts w:ascii="宋体" w:hAnsi="宋体" w:eastAsia="宋体" w:cs="宋体"/>
          <w:b/>
          <w:bCs/>
          <w:color w:val="auto"/>
          <w:sz w:val="21"/>
          <w:szCs w:val="21"/>
        </w:rPr>
        <w:t>5、重要性标准确定方法和选择依据</w:t>
      </w:r>
      <w:bookmarkEnd w:id="20"/>
    </w:p>
    <w:p w14:paraId="5406619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sym w:font="Wingdings 2" w:char="F052"/>
      </w:r>
      <w:r>
        <w:rPr>
          <w:rFonts w:ascii="宋体" w:hAnsi="宋体" w:eastAsia="宋体" w:cs="宋体"/>
          <w:color w:val="auto"/>
          <w:sz w:val="18"/>
          <w:szCs w:val="18"/>
        </w:rPr>
        <w:t>适用□不适用</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17FCA0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5D17BB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A5867B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重要性标准</w:t>
            </w:r>
          </w:p>
        </w:tc>
      </w:tr>
      <w:tr w14:paraId="7FB1D0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C670FA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重要的单项计提坏账准备的应收款项</w:t>
            </w:r>
          </w:p>
        </w:tc>
        <w:tc>
          <w:tcPr>
            <w:tcW w:w="4820" w:type="dxa"/>
            <w:tcBorders>
              <w:top w:val="single" w:color="auto" w:sz="2" w:space="0"/>
              <w:left w:val="single" w:color="auto" w:sz="2" w:space="0"/>
              <w:bottom w:val="single" w:color="auto" w:sz="2" w:space="0"/>
              <w:right w:val="single" w:color="auto" w:sz="2" w:space="0"/>
            </w:tcBorders>
            <w:vAlign w:val="center"/>
          </w:tcPr>
          <w:p w14:paraId="2799787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单项应收账款金额超过资产总额0.03%</w:t>
            </w:r>
          </w:p>
        </w:tc>
      </w:tr>
      <w:tr w14:paraId="5AEB15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73481E5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应收款项本期重要的坏账准备收回或转回金额</w:t>
            </w:r>
          </w:p>
        </w:tc>
        <w:tc>
          <w:tcPr>
            <w:tcW w:w="4820" w:type="dxa"/>
            <w:tcBorders>
              <w:top w:val="single" w:color="auto" w:sz="2" w:space="0"/>
              <w:left w:val="single" w:color="auto" w:sz="2" w:space="0"/>
              <w:bottom w:val="single" w:color="auto" w:sz="2" w:space="0"/>
              <w:right w:val="single" w:color="auto" w:sz="2" w:space="0"/>
            </w:tcBorders>
            <w:vAlign w:val="center"/>
          </w:tcPr>
          <w:p w14:paraId="278D49E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单项应收账款金额超过资产总额0.03%</w:t>
            </w:r>
          </w:p>
        </w:tc>
      </w:tr>
      <w:tr w14:paraId="5D1B62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037C4D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重要的应收款项核销</w:t>
            </w:r>
          </w:p>
        </w:tc>
        <w:tc>
          <w:tcPr>
            <w:tcW w:w="4820" w:type="dxa"/>
            <w:tcBorders>
              <w:top w:val="single" w:color="auto" w:sz="2" w:space="0"/>
              <w:left w:val="single" w:color="auto" w:sz="2" w:space="0"/>
              <w:bottom w:val="single" w:color="auto" w:sz="2" w:space="0"/>
              <w:right w:val="single" w:color="auto" w:sz="2" w:space="0"/>
            </w:tcBorders>
            <w:vAlign w:val="center"/>
          </w:tcPr>
          <w:p w14:paraId="48DC2A8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单项金额超过资产总额0.03%</w:t>
            </w:r>
          </w:p>
        </w:tc>
      </w:tr>
      <w:tr w14:paraId="5143F1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34B469E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重要的账龄超过1年的预付账款、应付账款</w:t>
            </w:r>
          </w:p>
        </w:tc>
        <w:tc>
          <w:tcPr>
            <w:tcW w:w="4820" w:type="dxa"/>
            <w:tcBorders>
              <w:top w:val="single" w:color="auto" w:sz="2" w:space="0"/>
              <w:left w:val="single" w:color="auto" w:sz="2" w:space="0"/>
              <w:bottom w:val="single" w:color="auto" w:sz="2" w:space="0"/>
              <w:right w:val="single" w:color="auto" w:sz="2" w:space="0"/>
            </w:tcBorders>
            <w:vAlign w:val="center"/>
          </w:tcPr>
          <w:p w14:paraId="0BD00A2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单项金额超过资产总额0.03%</w:t>
            </w:r>
          </w:p>
        </w:tc>
      </w:tr>
      <w:tr w14:paraId="74CB7D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70ECFA5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重要的在建工程</w:t>
            </w:r>
          </w:p>
        </w:tc>
        <w:tc>
          <w:tcPr>
            <w:tcW w:w="4820" w:type="dxa"/>
            <w:tcBorders>
              <w:top w:val="single" w:color="auto" w:sz="2" w:space="0"/>
              <w:left w:val="single" w:color="auto" w:sz="2" w:space="0"/>
              <w:bottom w:val="single" w:color="auto" w:sz="2" w:space="0"/>
              <w:right w:val="single" w:color="auto" w:sz="2" w:space="0"/>
            </w:tcBorders>
            <w:vAlign w:val="center"/>
          </w:tcPr>
          <w:p w14:paraId="6644102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募投项目涉及的在建工程项目、单个项目预算投入金额在1000万元以上</w:t>
            </w:r>
          </w:p>
        </w:tc>
      </w:tr>
      <w:tr w14:paraId="796926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3BA5403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账龄超过1年且金额重要的合同负债</w:t>
            </w:r>
          </w:p>
        </w:tc>
        <w:tc>
          <w:tcPr>
            <w:tcW w:w="4820" w:type="dxa"/>
            <w:tcBorders>
              <w:top w:val="single" w:color="auto" w:sz="2" w:space="0"/>
              <w:left w:val="single" w:color="auto" w:sz="2" w:space="0"/>
              <w:bottom w:val="single" w:color="auto" w:sz="2" w:space="0"/>
              <w:right w:val="single" w:color="auto" w:sz="2" w:space="0"/>
            </w:tcBorders>
            <w:vAlign w:val="center"/>
          </w:tcPr>
          <w:p w14:paraId="3180AEA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单项账龄超过1年的合同负债占合同负债总额的 10%以上</w:t>
            </w:r>
          </w:p>
        </w:tc>
      </w:tr>
      <w:tr w14:paraId="3E9DE3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17791A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重要的非全资子公司</w:t>
            </w:r>
          </w:p>
        </w:tc>
        <w:tc>
          <w:tcPr>
            <w:tcW w:w="4820" w:type="dxa"/>
            <w:tcBorders>
              <w:top w:val="single" w:color="auto" w:sz="2" w:space="0"/>
              <w:left w:val="single" w:color="auto" w:sz="2" w:space="0"/>
              <w:bottom w:val="single" w:color="auto" w:sz="2" w:space="0"/>
              <w:right w:val="single" w:color="auto" w:sz="2" w:space="0"/>
            </w:tcBorders>
            <w:vAlign w:val="center"/>
          </w:tcPr>
          <w:p w14:paraId="451E963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资产总额、营业收入、净利润（三者任一）占合并报表相应指标的10%以上</w:t>
            </w:r>
          </w:p>
        </w:tc>
      </w:tr>
      <w:tr w14:paraId="312312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3875CF8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重要合营企业或联营企业</w:t>
            </w:r>
          </w:p>
        </w:tc>
        <w:tc>
          <w:tcPr>
            <w:tcW w:w="4820" w:type="dxa"/>
            <w:tcBorders>
              <w:top w:val="single" w:color="auto" w:sz="2" w:space="0"/>
              <w:left w:val="single" w:color="auto" w:sz="2" w:space="0"/>
              <w:bottom w:val="single" w:color="auto" w:sz="2" w:space="0"/>
              <w:right w:val="single" w:color="auto" w:sz="2" w:space="0"/>
            </w:tcBorders>
            <w:vAlign w:val="center"/>
          </w:tcPr>
          <w:p w14:paraId="61CF48E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对合营或联营企业的长期股权投资账面价值超过资产总额5%或权益法下本期投资损益占合并净利润的10%以上</w:t>
            </w:r>
          </w:p>
        </w:tc>
      </w:tr>
      <w:tr w14:paraId="7EA888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1E0169E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重要的资本化研发项目</w:t>
            </w:r>
          </w:p>
        </w:tc>
        <w:tc>
          <w:tcPr>
            <w:tcW w:w="4820" w:type="dxa"/>
            <w:tcBorders>
              <w:top w:val="single" w:color="auto" w:sz="2" w:space="0"/>
              <w:left w:val="single" w:color="auto" w:sz="2" w:space="0"/>
              <w:bottom w:val="single" w:color="auto" w:sz="2" w:space="0"/>
              <w:right w:val="single" w:color="auto" w:sz="2" w:space="0"/>
            </w:tcBorders>
            <w:vAlign w:val="center"/>
          </w:tcPr>
          <w:p w14:paraId="70D8ED9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单个项目资本化累计金额超过资产总额2%的项目</w:t>
            </w:r>
          </w:p>
        </w:tc>
      </w:tr>
      <w:tr w14:paraId="04A200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0EEF513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重要的投资活动</w:t>
            </w:r>
          </w:p>
        </w:tc>
        <w:tc>
          <w:tcPr>
            <w:tcW w:w="4820" w:type="dxa"/>
            <w:tcBorders>
              <w:top w:val="single" w:color="auto" w:sz="2" w:space="0"/>
              <w:left w:val="single" w:color="auto" w:sz="2" w:space="0"/>
              <w:bottom w:val="single" w:color="auto" w:sz="2" w:space="0"/>
              <w:right w:val="single" w:color="auto" w:sz="2" w:space="0"/>
            </w:tcBorders>
            <w:vAlign w:val="center"/>
          </w:tcPr>
          <w:p w14:paraId="1F47367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单项投资活动占收到或支付投资活动相关的现金流入或流出总额的10%以上且金额大于1000万元人民币</w:t>
            </w:r>
          </w:p>
        </w:tc>
      </w:tr>
    </w:tbl>
    <w:p w14:paraId="2DC63F9A">
      <w:pPr>
        <w:keepNext/>
        <w:keepLines/>
        <w:spacing w:before="300" w:after="300" w:line="280" w:lineRule="exact"/>
        <w:jc w:val="left"/>
        <w:outlineLvl w:val="2"/>
        <w:rPr>
          <w:rFonts w:ascii="宋体" w:hAnsi="宋体" w:eastAsia="宋体" w:cs="宋体"/>
          <w:b/>
          <w:bCs/>
          <w:color w:val="auto"/>
          <w:sz w:val="21"/>
          <w:szCs w:val="21"/>
        </w:rPr>
      </w:pPr>
      <w:bookmarkStart w:id="21" w:name="_Toc988997"/>
      <w:r>
        <w:rPr>
          <w:rFonts w:ascii="宋体" w:hAnsi="宋体" w:eastAsia="宋体" w:cs="宋体"/>
          <w:b/>
          <w:bCs/>
          <w:color w:val="auto"/>
          <w:sz w:val="21"/>
          <w:szCs w:val="21"/>
        </w:rPr>
        <w:t>6、同一控制下和非同一控制下企业合并的会计处理方法</w:t>
      </w:r>
      <w:bookmarkEnd w:id="21"/>
    </w:p>
    <w:p w14:paraId="7639D6B7">
      <w:pPr>
        <w:pStyle w:val="4"/>
        <w:keepNext w:val="0"/>
        <w:keepLines w:val="0"/>
        <w:widowControl/>
        <w:suppressLineNumbers w:val="0"/>
        <w:spacing w:before="0" w:beforeAutospacing="0" w:after="0" w:afterAutospacing="0" w:line="412" w:lineRule="auto"/>
        <w:ind w:left="560" w:right="312"/>
        <w:jc w:val="left"/>
        <w:rPr>
          <w:rFonts w:hint="default" w:ascii="Times New Roman" w:hAnsi="Times New Roman" w:cs="Times New Roman"/>
          <w:color w:val="auto"/>
          <w:sz w:val="24"/>
          <w:szCs w:val="24"/>
        </w:rPr>
      </w:pPr>
      <w:r>
        <w:rPr>
          <w:rFonts w:hint="eastAsia" w:ascii="宋体" w:hAnsi="宋体" w:eastAsia="宋体" w:cs="宋体"/>
          <w:b/>
          <w:bCs/>
          <w:color w:val="auto"/>
          <w:spacing w:val="-4"/>
          <w:sz w:val="21"/>
          <w:szCs w:val="21"/>
        </w:rPr>
        <w:t>1.分步实现企业合并过程中的各项交易的条款、条件以及经济影响符合以下一种或多</w:t>
      </w:r>
      <w:r>
        <w:rPr>
          <w:rFonts w:hint="eastAsia" w:ascii="宋体" w:hAnsi="宋体" w:eastAsia="宋体" w:cs="宋体"/>
          <w:b/>
          <w:bCs/>
          <w:color w:val="auto"/>
          <w:spacing w:val="-3"/>
          <w:sz w:val="21"/>
          <w:szCs w:val="21"/>
        </w:rPr>
        <w:t>种情况，将多次交易事项作为一揽子交易进行会计处理</w:t>
      </w:r>
    </w:p>
    <w:p w14:paraId="6B8ACF0C">
      <w:pPr>
        <w:pStyle w:val="4"/>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（1）这些交易是同时或者在考虑了彼此影响的情况下订立的；</w:t>
      </w:r>
    </w:p>
    <w:p w14:paraId="1E3C2F55">
      <w:pPr>
        <w:pStyle w:val="4"/>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（2）这些交易整体才能达成一项完整的商业结果；</w:t>
      </w:r>
    </w:p>
    <w:p w14:paraId="2DF23DF4">
      <w:pPr>
        <w:pStyle w:val="4"/>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（3）一项交易的发生取决于其他至少一项交易的发生；</w:t>
      </w:r>
    </w:p>
    <w:p w14:paraId="2038C981">
      <w:pPr>
        <w:pStyle w:val="4"/>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（4）一项交易单独看是不经济的，但是和其他交易一并考虑时是经济的。</w:t>
      </w:r>
    </w:p>
    <w:p w14:paraId="2459CD22">
      <w:pPr>
        <w:pStyle w:val="4"/>
        <w:keepNext w:val="0"/>
        <w:keepLines w:val="0"/>
        <w:widowControl/>
        <w:suppressLineNumbers w:val="0"/>
        <w:spacing w:before="1"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2.同一控制下的企业合并</w:t>
      </w:r>
    </w:p>
    <w:p w14:paraId="775A2765">
      <w:pPr>
        <w:pStyle w:val="4"/>
        <w:keepNext w:val="0"/>
        <w:keepLines w:val="0"/>
        <w:widowControl/>
        <w:suppressLineNumbers w:val="0"/>
        <w:spacing w:before="6"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73F6AE8A">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参与合并的企业在合并前后均受同一方或相同的多方最终控制，且该控制并非暂时性的，为同一控制下的企业合并。</w:t>
      </w:r>
    </w:p>
    <w:p w14:paraId="735624B0">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企业合并中取得的资产和负债，按照合并日在被合并方资产、负债（包括最终控制方收购被合并方而形成的商誉）在最终控制方合并财务报表中的账面价值计量。在合并中取得的净资产账面价值与支付的合并对价账面价值（或发行股份面值总额）的差额，调整资本公积中的股本溢价，资本公积中的股本溢价不足冲减的，调整留存收益。</w:t>
      </w:r>
    </w:p>
    <w:p w14:paraId="2CFCA230">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如果存在或有对价并需要确认预计负债或资产，该预计负债或资产金额与后续或有对价结算金额的差额，调整资本公积（资本溢价或股本溢价），资本公积不足的，调整留存收益。</w:t>
      </w:r>
    </w:p>
    <w:p w14:paraId="5976701B">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通过多次交易最终实现企业合并的，属于一揽子交易的，将各项交易作为一项取得控制权的交易进行会计处理；不属于一揽子交易的，在取得控制权日，长期股权投资初始投资成本，与达到合并前的长期股权投资账面价值加上合并日进一步取得股份新支付对价的账面价值之和的差额，调整资本公积；资本公积不足冲减的，调整留存收益。对于合并日之前持有的股权投资，因采用权益法核算或金融工具确认和计量准则核算而确认的其他综合收益，</w:t>
      </w:r>
      <w:r>
        <w:rPr>
          <w:rFonts w:hint="eastAsia" w:ascii="宋体" w:hAnsi="宋体" w:eastAsia="宋体" w:cs="宋体"/>
          <w:color w:val="auto"/>
          <w:spacing w:val="-12"/>
          <w:sz w:val="21"/>
          <w:szCs w:val="21"/>
        </w:rPr>
        <w:t>暂不进行会计处理，直至处置该项投资时采用与被投资单位直接处置相关资产或负债相同的基础进行会计处理；因采用权益法核算而确认的被投资单位净资产中除净损益、其他综合收</w:t>
      </w:r>
      <w:r>
        <w:rPr>
          <w:rFonts w:hint="eastAsia" w:ascii="宋体" w:hAnsi="宋体" w:eastAsia="宋体" w:cs="宋体"/>
          <w:color w:val="auto"/>
          <w:spacing w:val="-11"/>
          <w:sz w:val="21"/>
          <w:szCs w:val="21"/>
        </w:rPr>
        <w:t>益和利润分配以外的所有者权益其他变动，暂不进行会计处理，直至处置该项投资时转入当</w:t>
      </w:r>
      <w:r>
        <w:rPr>
          <w:rFonts w:hint="eastAsia" w:ascii="宋体" w:hAnsi="宋体" w:eastAsia="宋体" w:cs="宋体"/>
          <w:color w:val="auto"/>
          <w:spacing w:val="-8"/>
          <w:sz w:val="21"/>
          <w:szCs w:val="21"/>
        </w:rPr>
        <w:t>期损益。</w:t>
      </w:r>
    </w:p>
    <w:p w14:paraId="086131DA">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3.非同一控制下的企业合并</w:t>
      </w:r>
    </w:p>
    <w:p w14:paraId="3CD3ADFD">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6F0E2E9A">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参与合并的企业在合并前后不受同一方或相同的多方最终控制，为非同一控制下的企业合并。</w:t>
      </w:r>
    </w:p>
    <w:p w14:paraId="084FCAF2">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本公司在购买日对作为企业合并对价付出的资产、发生或承担的负债按照公允价值计量，公允价值与其账面价值的差额，计入当期损益。</w:t>
      </w:r>
    </w:p>
    <w:p w14:paraId="07DFFE34">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购买日是指本公司实际取得对被购买方控制权的日期，即被购买方的净资产或生产经营决策的控制权转移给本公司的日期。同时满足下列条件时，本公司一般认为实现了控制权的转移：</w:t>
      </w:r>
    </w:p>
    <w:p w14:paraId="2D530ECD">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①企业合并合同或协议已获本公司内部权力机构通过。</w:t>
      </w:r>
    </w:p>
    <w:p w14:paraId="49C7C5F5">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②企业合并事项需要经过国家有关主管部门审批的，已获得批准。</w:t>
      </w:r>
    </w:p>
    <w:p w14:paraId="2AC7728B">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③已办理了必要的财产权转移手续。</w:t>
      </w:r>
    </w:p>
    <w:p w14:paraId="73A8F692">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④本公司已支付了合并价款的大部分，并且有能力、有计划支付剩余款项。</w:t>
      </w:r>
    </w:p>
    <w:p w14:paraId="3DA2C433">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⑤本公司实际上已经控制了被购买方的财务和经营政策，并享有相应的利益、承担相应的风险。</w:t>
      </w:r>
    </w:p>
    <w:p w14:paraId="151F2A37">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合并成本大于合并中取得的被购买方可辨认净资产公允价值份额的差额，确认为商誉；合并成本小于合并中取得的被购买方可辨认净资产公允价值份额的，首先对取得的被购买方各项可辨认资产、负债及或有负债的公允价值以及合并成本的计量进行复核，复核后合并成本仍小于合并中取得的被购买方可辨认净资产公允价值份额的，计入当期损益。通过多次交换交易分步实现的非同一控制下企业合并，属于一揽子交易的，将各项交易作为一项取得控制权的交易进行会计处理；不属于一揽子交易的，合并日之前持有的股权投资采用权益法核算的，以购买日之前所持被购买方的股权投资的账面价值与购买日新增投资成本之和，作为该项投资的初始投资成本；购买日之前持有的股权投资因采用权益法核算而确认的其他综合收益，在处置该项投资时采用与被投资单位直接处置相关资产或负债相同的基础进行会计处理。合并日之前持有的股权投资采用金融工具确认和计量准则核算的，以该</w:t>
      </w:r>
      <w:r>
        <w:rPr>
          <w:rFonts w:hint="eastAsia" w:ascii="宋体" w:hAnsi="宋体" w:eastAsia="宋体" w:cs="宋体"/>
          <w:color w:val="auto"/>
          <w:spacing w:val="-7"/>
          <w:sz w:val="21"/>
          <w:szCs w:val="21"/>
        </w:rPr>
        <w:t>股权投资在合并日的公允价值加上新增投资成本之和，作为合并日的初始投资成本。原持有股权的公允价值与账面价值之间的差额以及原计入其他综合收益的累计公允价值变动应全</w:t>
      </w:r>
      <w:r>
        <w:rPr>
          <w:rFonts w:hint="eastAsia" w:ascii="宋体" w:hAnsi="宋体" w:eastAsia="宋体" w:cs="宋体"/>
          <w:color w:val="auto"/>
          <w:spacing w:val="-5"/>
          <w:sz w:val="21"/>
          <w:szCs w:val="21"/>
        </w:rPr>
        <w:t>部转入合并日当期的投资收益。</w:t>
      </w:r>
    </w:p>
    <w:p w14:paraId="6935BE61">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4.为合并发生的相关费用</w:t>
      </w:r>
    </w:p>
    <w:p w14:paraId="139855F3">
      <w:pPr>
        <w:pStyle w:val="4"/>
        <w:keepNext w:val="0"/>
        <w:keepLines w:val="0"/>
        <w:widowControl/>
        <w:suppressLineNumbers w:val="0"/>
        <w:spacing w:before="6"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3C02E901">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为企业合并发生的审计、法律服务、评估咨询等中介费用以及其他直接相关费用，于发生时计入当期损益；为企业合并而发行权益性证券的交易费用，可直接归属于权益性交易的从权益中扣减。</w:t>
      </w:r>
    </w:p>
    <w:p w14:paraId="0EA68374">
      <w:pPr>
        <w:keepNext/>
        <w:keepLines/>
        <w:spacing w:before="300" w:after="300" w:line="280" w:lineRule="exact"/>
        <w:jc w:val="left"/>
        <w:outlineLvl w:val="2"/>
        <w:rPr>
          <w:rFonts w:ascii="宋体" w:hAnsi="宋体" w:eastAsia="宋体" w:cs="宋体"/>
          <w:b/>
          <w:bCs/>
          <w:color w:val="auto"/>
          <w:sz w:val="21"/>
          <w:szCs w:val="21"/>
        </w:rPr>
      </w:pPr>
      <w:bookmarkStart w:id="22" w:name="_Toc988998"/>
      <w:r>
        <w:rPr>
          <w:rFonts w:ascii="宋体" w:hAnsi="宋体" w:eastAsia="宋体" w:cs="宋体"/>
          <w:b/>
          <w:bCs/>
          <w:color w:val="auto"/>
          <w:sz w:val="21"/>
          <w:szCs w:val="21"/>
        </w:rPr>
        <w:t>7、控制的判断标准和合并财务报表的编制方法</w:t>
      </w:r>
      <w:bookmarkEnd w:id="22"/>
    </w:p>
    <w:p w14:paraId="731D3FFE">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1.合并范围</w:t>
      </w:r>
    </w:p>
    <w:p w14:paraId="63626113">
      <w:pPr>
        <w:pStyle w:val="4"/>
        <w:keepNext w:val="0"/>
        <w:keepLines w:val="0"/>
        <w:widowControl/>
        <w:suppressLineNumbers w:val="0"/>
        <w:spacing w:before="0" w:beforeAutospacing="0" w:after="0" w:afterAutospacing="0" w:line="360" w:lineRule="auto"/>
        <w:ind w:left="0" w:right="0" w:firstLine="42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本公司合并财务报表的合并范围以控制为基础确定，所有子公司（包括本公司所控制的单独主体）均纳入合并财务报表。</w:t>
      </w:r>
    </w:p>
    <w:p w14:paraId="1F9F695A">
      <w:pPr>
        <w:pStyle w:val="4"/>
        <w:keepNext w:val="0"/>
        <w:keepLines w:val="0"/>
        <w:widowControl/>
        <w:suppressLineNumbers w:val="0"/>
        <w:spacing w:before="157"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2.合并程序</w:t>
      </w:r>
    </w:p>
    <w:p w14:paraId="1FACF6DC">
      <w:pPr>
        <w:pStyle w:val="4"/>
        <w:keepNext w:val="0"/>
        <w:keepLines w:val="0"/>
        <w:widowControl/>
        <w:suppressLineNumbers w:val="0"/>
        <w:spacing w:before="6"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7C9DE0C2">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以自身和各子公司的财务报表为基础，根据其他有关资料，编制合并财务报表。本公司编制合并财务报表，将整个企业集团视为一个会计主体，依据相关企业会计准则的确认、计量和列报要求，按照统一的会计政策，反映本企业集团整体财务状况、经营成果和现金流量。</w:t>
      </w:r>
    </w:p>
    <w:p w14:paraId="4A88AA6E">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所有纳入合并财务报表合并范围的子公司所采用的会计政策、会计期间与本公司一致，如子公司采用的会计政策、会计期间与本公司不一致的，在编制合并财务报表时，按本公司的会计政策、会计期间进行必要的调整。</w:t>
      </w:r>
    </w:p>
    <w:p w14:paraId="409324F5">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合并财务报表时抵销本公司与各子公司、各子公司相互之间发生的内部交易对合并资产负债表、合并利润表、合并现金流量表、合并股东权益变动表的影响。如果站在企业集团合并财务报表角度与以本公司或子公司为会计主体对同一交易的认定不同时，从企业集团的角度对该交易予以调整。</w:t>
      </w:r>
    </w:p>
    <w:p w14:paraId="285B4252">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子公司所有者权益、当期净损益和当期综合收益中属于少数股东的份额分别在合并资产负债表中所有者权益项目下、合并利润表中净利润项目下和综合收益总额项目下单独列示。子公司少数股东分担的当期亏损超过了少数股东在该子公司期初所有者权益中所享有份额而形成的余额，冲减少数股东权益。</w:t>
      </w:r>
    </w:p>
    <w:p w14:paraId="7B09ABE9">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对于同一控制下企业合并取得的子公司，以其资产、负债（包括最终控制方收购该子公司而形成的商誉）在最终控制方财务报表中的账面价值为基础对其财务报表进行调整。</w:t>
      </w:r>
    </w:p>
    <w:p w14:paraId="1F57DBA4">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对于非同一控制下企业合并取得的子公司，以购买日可辨认净资产公允价值为基础对其财务报表进行调整</w:t>
      </w:r>
    </w:p>
    <w:p w14:paraId="06A169A6">
      <w:pPr>
        <w:pStyle w:val="4"/>
        <w:keepNext w:val="0"/>
        <w:keepLines w:val="0"/>
        <w:widowControl/>
        <w:suppressLineNumbers w:val="0"/>
        <w:spacing w:before="0" w:beforeAutospacing="0" w:after="0" w:afterAutospacing="0" w:line="269" w:lineRule="atLeast"/>
        <w:ind w:left="558" w:right="0"/>
        <w:jc w:val="left"/>
        <w:rPr>
          <w:rFonts w:hint="default" w:ascii="Times New Roman" w:hAnsi="Times New Roman" w:cs="Times New Roman"/>
          <w:color w:val="auto"/>
          <w:sz w:val="24"/>
          <w:szCs w:val="24"/>
        </w:rPr>
      </w:pPr>
      <w:r>
        <w:rPr>
          <w:rFonts w:hint="eastAsia" w:ascii="宋体" w:hAnsi="宋体" w:eastAsia="宋体" w:cs="宋体"/>
          <w:color w:val="auto"/>
          <w:spacing w:val="-3"/>
          <w:sz w:val="21"/>
          <w:szCs w:val="21"/>
        </w:rPr>
        <w:t>（1）增加子公司或业务</w:t>
      </w:r>
    </w:p>
    <w:p w14:paraId="5AFB29E8">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5"/>
          <w:szCs w:val="15"/>
        </w:rPr>
        <w:t> </w:t>
      </w:r>
    </w:p>
    <w:p w14:paraId="3E142C13">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报告期内，若因同一控制下企业合并增加子公司或业务的，则调整合并资产负债表的期初数；将子公司或业务合并当期期初至报告期末的收入、费用、利润纳入合并利润表；将子公司或业务合并当期期初至报告期末的现金流量纳入合并现金流量表，同时对比较报表的相关项目进行调整，视同合并后的报告主体自最终控制方开始控制时点起一直存在。</w:t>
      </w:r>
    </w:p>
    <w:p w14:paraId="17FB6A05">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因追加投资等原因能够对同一控制下的被投资方实施控制的，视同参与合并的各方在最终控制方开始控制时即以目前的状态存在进行调整。在取得被合并方控制权之前持有的股权投资，在取得原股权之日与合并方和被合并方同处于同一控制之日孰晚日起至合并日之间已确认有关损益、其他综合收益以及其他净资产变动，分别冲减比较报表期间的期初留存收益或当期损益。</w:t>
      </w:r>
    </w:p>
    <w:p w14:paraId="29DE8C42">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报告期内，若因非同一控制下企业合并增加子公司或业务的，则不调整合并资产负债表期初数；将该子公司或业务自购买日至报告期末的收入、费用、利润纳入合并利润表；该子公司或业务自购买日至报告期末的现金流量纳入合并现金流量表。</w:t>
      </w:r>
    </w:p>
    <w:p w14:paraId="472260CF">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因追加投资等原因能够对非同一控制下的被投资方实施控制的，对于购买日之前持有的被购买方的股权，本公司按照该股权在购买日的公允价值进行重新计量，公允价值与其账面价值的差额计入当期投资收益。购买日之前持有的被购买方的股权涉及权益法核算下的其他综合收益以及除净损益、其他综合收益和利润分配之外的其他所有者权益变动的，与其相关的其他综合收益、其他所有者权益变动转为购买日所属当期投资收益，由于被投资方重新计量设定受益计划净负债或净资产变动而产生的其他综合收益除外。</w:t>
      </w:r>
    </w:p>
    <w:p w14:paraId="7886DDF1">
      <w:pPr>
        <w:pStyle w:val="4"/>
        <w:keepNext w:val="0"/>
        <w:keepLines w:val="0"/>
        <w:widowControl/>
        <w:suppressLineNumbers w:val="0"/>
        <w:spacing w:before="0" w:beforeAutospacing="0" w:after="0" w:afterAutospacing="0" w:line="360" w:lineRule="auto"/>
        <w:ind w:left="0" w:right="0" w:firstLine="408"/>
        <w:jc w:val="both"/>
        <w:rPr>
          <w:rFonts w:hint="default" w:ascii="Times New Roman" w:hAnsi="Times New Roman" w:cs="Times New Roman"/>
          <w:color w:val="auto"/>
          <w:sz w:val="24"/>
          <w:szCs w:val="24"/>
        </w:rPr>
      </w:pPr>
      <w:r>
        <w:rPr>
          <w:rFonts w:hint="eastAsia" w:ascii="宋体" w:hAnsi="宋体" w:eastAsia="宋体" w:cs="宋体"/>
          <w:color w:val="auto"/>
          <w:spacing w:val="-3"/>
          <w:sz w:val="21"/>
          <w:szCs w:val="21"/>
        </w:rPr>
        <w:t>处置子公司或业务</w:t>
      </w:r>
    </w:p>
    <w:p w14:paraId="0F2AFC26">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1）一般处理方法</w:t>
      </w:r>
    </w:p>
    <w:p w14:paraId="5679B18E">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在报告期内，本公司处置子公司或业务，则该子公司或业务期初至处置日的收入、费用、利润纳入合并利润表；该子公司或业务期初至处置日的现金流量纳入合并现金流量表。</w:t>
      </w:r>
    </w:p>
    <w:p w14:paraId="305908BB">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因处置部分股权投资或其他原因丧失了对被投资方控制权时，对于处置后的剩余股权投资，本公司按照其在丧失控制权日的公允价值进行重新计量。处置股权取得的对价与剩余股权公允价值之和，减去按原持股比例计算应享有原有子公司自购买日或合并日开始持续计算的净资产的份额与商誉之和的差额，计入丧失控制权当期的投资收益。与原有子公司股权投资相关的其他综合收益或除净损益、其他综合收益及利润分配之外的其他所有者权益变动，在丧失控制权时转为当期投资收益，由于被投资方重新计量设定受益计划净负债或净资产变动而产生的其他综合收益除外。</w:t>
      </w:r>
    </w:p>
    <w:p w14:paraId="60823767">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2）分步处置子公司</w:t>
      </w:r>
    </w:p>
    <w:p w14:paraId="694DDDC1">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通过多次交易分步处置对子公司股权投资直至丧失控制权的，处置对子公司股权投资的各项交易的条款、条件以及经济影响符合以下一种或多种情况，通常表明应将多次交易事项作为一揽子交易进行会计处理：</w:t>
      </w:r>
    </w:p>
    <w:p w14:paraId="41BB81BB">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A.这些交易是同时或者在考虑了彼此影响的情况下订立的；B.这些交易整体才能达成一项完整的商业结果；</w:t>
      </w:r>
    </w:p>
    <w:p w14:paraId="55DACA7A">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一项交易的发生取决于其他至少一项交易的发生；</w:t>
      </w:r>
    </w:p>
    <w:p w14:paraId="6E26948A">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一项交易单独看是不经济的，但是和其他交易一并考虑时是经济的。</w:t>
      </w:r>
    </w:p>
    <w:p w14:paraId="0B8AEEFC">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处置对子公司股权投资直至丧失控制权的各项交易属于一揽子交易的，本公司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14:paraId="63F76C9C">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处置对子公司股权投资直至丧失控制权的各项交易不属于一揽子交易的，在丧失控制权之前，按不丧失控制权的情况下部分处置对子公司的股权投资的相关政策进行会计处理；在丧失控制权时，按处置子公司一般处理方法进行会计处理。</w:t>
      </w:r>
    </w:p>
    <w:p w14:paraId="129E842A">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购买子公司少数股权</w:t>
      </w:r>
    </w:p>
    <w:p w14:paraId="0911B3B3">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因购买少数股权新取得的长期股权投资与按照新增持股比例计算应享有子公司自购买日（或合并日）开始持续计算的净资产份额之间的差额，调整合并资产负债表中的资本公积中的股本溢价，资本公积中的股本溢价不足冲减的，调整留存收益。</w:t>
      </w:r>
    </w:p>
    <w:p w14:paraId="287DE48B">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不丧失控制权的情况下部分处置对子公司的股权投资</w:t>
      </w:r>
    </w:p>
    <w:p w14:paraId="3BF66FA6">
      <w:pPr>
        <w:pStyle w:val="4"/>
        <w:keepNext w:val="0"/>
        <w:keepLines w:val="0"/>
        <w:widowControl/>
        <w:suppressLineNumbers w:val="0"/>
        <w:spacing w:before="0" w:beforeAutospacing="0" w:after="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不丧失控制权的情况下因部分处置对子公司的长期股权投资而取得的处置价款与处置长期股权投资相对应享有子公司自购买日或合并日开始持续计算的净资产份额之间的差额，调整合并资产负债表中的资本公积中的股本溢价，资本公积中的股本溢价不足冲减的，调整留存收益。</w:t>
      </w:r>
    </w:p>
    <w:p w14:paraId="3BA64C1B">
      <w:pPr>
        <w:keepNext/>
        <w:keepLines/>
        <w:spacing w:before="300" w:after="300" w:line="280" w:lineRule="exact"/>
        <w:jc w:val="left"/>
        <w:outlineLvl w:val="2"/>
        <w:rPr>
          <w:rFonts w:ascii="宋体" w:hAnsi="宋体" w:eastAsia="宋体" w:cs="宋体"/>
          <w:b/>
          <w:bCs/>
          <w:color w:val="auto"/>
          <w:sz w:val="21"/>
          <w:szCs w:val="21"/>
        </w:rPr>
      </w:pPr>
      <w:bookmarkStart w:id="23" w:name="_Toc988999"/>
      <w:r>
        <w:rPr>
          <w:rFonts w:ascii="宋体" w:hAnsi="宋体" w:eastAsia="宋体" w:cs="宋体"/>
          <w:b/>
          <w:bCs/>
          <w:color w:val="auto"/>
          <w:sz w:val="21"/>
          <w:szCs w:val="21"/>
        </w:rPr>
        <w:t>8、合营安排分类及共同经营会计处理方法</w:t>
      </w:r>
      <w:bookmarkEnd w:id="23"/>
    </w:p>
    <w:p w14:paraId="4C45CD22">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1.合营安排的分类</w:t>
      </w:r>
    </w:p>
    <w:p w14:paraId="4DBA2CE0">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5966CFC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本公司根据合营安排的结构、法律形式以及合营安排中约定的条款、其他相关事实和情况等因素，将合营安排分为共同经营和合营企业。</w:t>
      </w:r>
    </w:p>
    <w:p w14:paraId="0854A9F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未通过单独主体达成的合营安排，划分为共同经营；通过单独主体达成的合营安排，通常划分为合营企业；但有确凿证据表明满足下列任一条件并且符合相关法律法规规定的合营安排划分为共同经营：</w:t>
      </w:r>
    </w:p>
    <w:p w14:paraId="59C5D865">
      <w:pPr>
        <w:pStyle w:val="4"/>
        <w:keepNext w:val="0"/>
        <w:keepLines w:val="0"/>
        <w:widowControl/>
        <w:suppressLineNumbers w:val="0"/>
        <w:spacing w:before="0" w:beforeAutospacing="0" w:after="0" w:afterAutospacing="0" w:line="360" w:lineRule="auto"/>
        <w:ind w:left="0" w:right="0" w:firstLine="42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（1）合营安排的法律形式表明，合营方对该安排中的相关资产和负债分别享有权利和承担义务。</w:t>
      </w:r>
    </w:p>
    <w:p w14:paraId="470A0845">
      <w:pPr>
        <w:pStyle w:val="4"/>
        <w:keepNext w:val="0"/>
        <w:keepLines w:val="0"/>
        <w:widowControl/>
        <w:suppressLineNumbers w:val="0"/>
        <w:spacing w:before="0" w:beforeAutospacing="0" w:after="0" w:afterAutospacing="0" w:line="360" w:lineRule="auto"/>
        <w:ind w:left="0" w:right="0" w:firstLine="42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（2）合营安排的合同条款约定，合营方对该安排中的相关资产和负债分别享有权利和承担义务。</w:t>
      </w:r>
    </w:p>
    <w:p w14:paraId="2F174604">
      <w:pPr>
        <w:pStyle w:val="4"/>
        <w:keepNext w:val="0"/>
        <w:keepLines w:val="0"/>
        <w:widowControl/>
        <w:suppressLineNumbers w:val="0"/>
        <w:spacing w:before="0" w:beforeAutospacing="0" w:after="0" w:afterAutospacing="0" w:line="360" w:lineRule="auto"/>
        <w:ind w:left="0" w:right="0" w:firstLine="42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（3）其他相关事实和情况表明，合营方对该安排中的相关资产和负债分别享有权利和承担义务，如合营方享有与合营安排相关的几乎所有产出，并且该安排中负债的清偿持续依赖于合营方的支持。</w:t>
      </w:r>
    </w:p>
    <w:p w14:paraId="5FFFC953">
      <w:pPr>
        <w:pStyle w:val="4"/>
        <w:keepNext w:val="0"/>
        <w:keepLines w:val="0"/>
        <w:widowControl/>
        <w:suppressLineNumbers w:val="0"/>
        <w:spacing w:before="155"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2.共同经营会计处理方法</w:t>
      </w:r>
    </w:p>
    <w:p w14:paraId="69398199">
      <w:pPr>
        <w:pStyle w:val="4"/>
        <w:keepNext w:val="0"/>
        <w:keepLines w:val="0"/>
        <w:widowControl/>
        <w:suppressLineNumbers w:val="0"/>
        <w:spacing w:before="6"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218D93B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本公司确认共同经营中利益份额中与本公司相关的下列项目，并按照相关企业会计准则的规定进行会计处理：</w:t>
      </w:r>
    </w:p>
    <w:p w14:paraId="6FA60BB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（1）确认单独所持有的资产，以及按其份额确认共同持有的资产；</w:t>
      </w:r>
    </w:p>
    <w:p w14:paraId="36987AC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（2）确认单独所承担的负债，以及按其份额确认共同承担的负债；</w:t>
      </w:r>
    </w:p>
    <w:p w14:paraId="77FA570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（3）确认出售其享有的共同经营产出份额所产生的收入；</w:t>
      </w:r>
    </w:p>
    <w:p w14:paraId="12AD410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（4）按其份额确认共同经营因出售产出所产生的收入；</w:t>
      </w:r>
    </w:p>
    <w:p w14:paraId="06F1D7D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（5）确认单独所发生的费用，以及按其份额确认共同经营发生的费用。</w:t>
      </w:r>
    </w:p>
    <w:p w14:paraId="69683CC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向共同经营投出或出售资产等（该资产构成业务的除外），在该资产等由共同经营出售给第三方之前，仅确认因该交易产生的损益中归属于共同经营其他参与方的部分。投出或出售的资产发生资产减值损失的，本公司全额确认该损失。</w:t>
      </w:r>
    </w:p>
    <w:p w14:paraId="625FF3D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自共同经营购买资产等（该资产构成业务的除外），在将该资产等出售给第三方之前，仅确认因该交易产生的损益中归属于共同经营其他参与方的部分。购入的资产发生资产减值损失的，本公司按承担的份额确认该部分损失。</w:t>
      </w:r>
    </w:p>
    <w:p w14:paraId="614D9CE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本公司对共同经营不享有共同控制，如果本公司享有该共同经营相关资产且承担该共同经营相关负债的，仍按上述原则进行会计处理，否则，应当按照相关企业会计准则的规定进行会计处理。</w:t>
      </w:r>
    </w:p>
    <w:p w14:paraId="41852496">
      <w:pPr>
        <w:keepNext/>
        <w:keepLines/>
        <w:spacing w:before="300" w:after="300" w:line="280" w:lineRule="exact"/>
        <w:jc w:val="left"/>
        <w:outlineLvl w:val="2"/>
        <w:rPr>
          <w:rFonts w:ascii="宋体" w:hAnsi="宋体" w:eastAsia="宋体" w:cs="宋体"/>
          <w:b/>
          <w:bCs/>
          <w:color w:val="auto"/>
          <w:sz w:val="21"/>
          <w:szCs w:val="21"/>
        </w:rPr>
      </w:pPr>
      <w:bookmarkStart w:id="24" w:name="_Toc989000"/>
      <w:r>
        <w:rPr>
          <w:rFonts w:ascii="宋体" w:hAnsi="宋体" w:eastAsia="宋体" w:cs="宋体"/>
          <w:b/>
          <w:bCs/>
          <w:color w:val="auto"/>
          <w:sz w:val="21"/>
          <w:szCs w:val="21"/>
        </w:rPr>
        <w:t>9、现金及现金等价物的确定标准</w:t>
      </w:r>
      <w:bookmarkEnd w:id="24"/>
    </w:p>
    <w:p w14:paraId="74A40586">
      <w:pPr>
        <w:pStyle w:val="4"/>
        <w:keepNext w:val="0"/>
        <w:keepLines w:val="0"/>
        <w:widowControl/>
        <w:suppressLineNumbers w:val="0"/>
        <w:spacing w:before="0" w:beforeAutospacing="0" w:after="0" w:afterAutospacing="0" w:line="360" w:lineRule="auto"/>
        <w:ind w:left="0" w:right="0" w:firstLine="42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在编制现金流量表时，本公司将库存现金以及可以随时用于支付的存款确认为现金，将同时具备期限短（一般从购买日起三个月内到期）、流动性强、易于转换为已知金额的现金、价值变动风险很小四个条件的投资，确定为现金等价物。</w:t>
      </w:r>
    </w:p>
    <w:p w14:paraId="4505AA2D">
      <w:pPr>
        <w:keepNext/>
        <w:keepLines/>
        <w:spacing w:before="300" w:after="300" w:line="280" w:lineRule="exact"/>
        <w:jc w:val="left"/>
        <w:outlineLvl w:val="2"/>
        <w:rPr>
          <w:rFonts w:ascii="宋体" w:hAnsi="宋体" w:eastAsia="宋体" w:cs="宋体"/>
          <w:b/>
          <w:bCs/>
          <w:color w:val="auto"/>
          <w:sz w:val="21"/>
          <w:szCs w:val="21"/>
        </w:rPr>
      </w:pPr>
      <w:bookmarkStart w:id="25" w:name="_Toc989001"/>
      <w:r>
        <w:rPr>
          <w:rFonts w:ascii="宋体" w:hAnsi="宋体" w:eastAsia="宋体" w:cs="宋体"/>
          <w:b/>
          <w:bCs/>
          <w:color w:val="auto"/>
          <w:sz w:val="21"/>
          <w:szCs w:val="21"/>
        </w:rPr>
        <w:t>10、外币业务和外币报表折算</w:t>
      </w:r>
      <w:bookmarkEnd w:id="25"/>
    </w:p>
    <w:p w14:paraId="209653A8">
      <w:pPr>
        <w:pStyle w:val="4"/>
        <w:keepNext w:val="0"/>
        <w:keepLines w:val="0"/>
        <w:widowControl/>
        <w:suppressLineNumbers w:val="0"/>
        <w:spacing w:before="0" w:beforeAutospacing="0" w:after="0" w:afterAutospacing="0" w:line="360" w:lineRule="auto"/>
        <w:ind w:left="0" w:right="0" w:firstLine="42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外币业务交易在初始确认时，采用交易发生日的即期汇率作为折算汇率折合成人民币记账。</w:t>
      </w:r>
    </w:p>
    <w:p w14:paraId="38B0A0E3">
      <w:pPr>
        <w:pStyle w:val="4"/>
        <w:keepNext w:val="0"/>
        <w:keepLines w:val="0"/>
        <w:widowControl/>
        <w:suppressLineNumbers w:val="0"/>
        <w:spacing w:before="0" w:beforeAutospacing="0" w:after="0" w:afterAutospacing="0" w:line="360" w:lineRule="auto"/>
        <w:ind w:left="0" w:right="0" w:firstLine="42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资产负债表日，外币货币性项目按资产负债表日即期汇率折算，由此产生的汇兑差额，除属于与购建符合资本化条件的资产相关的外币专门借款产生的汇兑差额按照借款费用资本化的原则处理外，均计入当期损益。以历史成本计量的外币非货币性项目，仍采用交易发生日的即期汇率折算，不改变其记账本位币金额。</w:t>
      </w:r>
    </w:p>
    <w:p w14:paraId="54777CF1">
      <w:pPr>
        <w:pStyle w:val="4"/>
        <w:keepNext w:val="0"/>
        <w:keepLines w:val="0"/>
        <w:widowControl/>
        <w:suppressLineNumbers w:val="0"/>
        <w:spacing w:before="0" w:beforeAutospacing="0" w:after="0" w:afterAutospacing="0" w:line="360" w:lineRule="auto"/>
        <w:ind w:left="0" w:right="0" w:firstLine="42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以公允价值计量的外币非货币性项目，采用公允价值确定日的即期汇率折算，折算后的记账本位币金额与原记账本位币金额的差额，作为公允价值变动(含汇率变动)处理，计入当期损益或确认为其他综合收益。</w:t>
      </w:r>
    </w:p>
    <w:p w14:paraId="26BA42A4">
      <w:pPr>
        <w:keepNext/>
        <w:keepLines/>
        <w:spacing w:before="300" w:after="300" w:line="280" w:lineRule="exact"/>
        <w:jc w:val="left"/>
        <w:outlineLvl w:val="2"/>
        <w:rPr>
          <w:rFonts w:ascii="宋体" w:hAnsi="宋体" w:eastAsia="宋体" w:cs="宋体"/>
          <w:b/>
          <w:bCs/>
          <w:color w:val="auto"/>
          <w:sz w:val="21"/>
          <w:szCs w:val="21"/>
        </w:rPr>
      </w:pPr>
      <w:bookmarkStart w:id="26" w:name="_Toc989002"/>
      <w:r>
        <w:rPr>
          <w:rFonts w:ascii="宋体" w:hAnsi="宋体" w:eastAsia="宋体" w:cs="宋体"/>
          <w:b/>
          <w:bCs/>
          <w:color w:val="auto"/>
          <w:sz w:val="21"/>
          <w:szCs w:val="21"/>
        </w:rPr>
        <w:t>11、金融工具</w:t>
      </w:r>
      <w:bookmarkEnd w:id="26"/>
    </w:p>
    <w:p w14:paraId="0241A18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本公司在成为金融工具合同的一方时确认一项金融资产或金融负债。</w:t>
      </w:r>
    </w:p>
    <w:p w14:paraId="4F24FF5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实际利率法是指计算金融资产或金融负债的摊余成本以及将利息收入或利息费用分摊计入各会计期间的方法。</w:t>
      </w:r>
    </w:p>
    <w:p w14:paraId="0D1BF00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实际利率，是指将金融资产或金融负债在预计存续期的估计未来现金流量，折现为该金融资产账面余额或该金融负债摊余成本所使用的利率。在确定实际利率时，在考虑金融资产或金融负债所有合同条款(如提前还款、展期、看涨期权或其他类似期权等)的基础上估计预期现金流量，但不考虑预期信用损失。</w:t>
      </w:r>
    </w:p>
    <w:p w14:paraId="35B814C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资产或金融负债的摊余成本是以该金融资产或金融负债的初始确认金额扣除已偿还的本金，加上或减去采用实际利率法将该初始确认金额与到期日金额之间的差额进行摊销形成的累计摊销额，再扣除累计计提的损失准备(仅适用于金融资产)。</w:t>
      </w:r>
    </w:p>
    <w:p w14:paraId="70B88DBC">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1.金融资产的分类、确认和计量</w:t>
      </w:r>
    </w:p>
    <w:p w14:paraId="6C523E76">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6C30460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本公司根据所管理金融资产的业务模式和金融资产的合同现金流量特征，将金融资产划分为以下三类：</w:t>
      </w:r>
    </w:p>
    <w:p w14:paraId="4D6B833E">
      <w:pPr>
        <w:pStyle w:val="4"/>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（1）以摊余成本计量的金融资产。</w:t>
      </w:r>
    </w:p>
    <w:p w14:paraId="21BCD796">
      <w:pPr>
        <w:pStyle w:val="4"/>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（2）以公允价值计量且其变动计入其他综合收益的金融资产。</w:t>
      </w:r>
    </w:p>
    <w:p w14:paraId="5C625DF8">
      <w:pPr>
        <w:pStyle w:val="4"/>
        <w:keepNext w:val="0"/>
        <w:keepLines w:val="0"/>
        <w:widowControl/>
        <w:suppressLineNumbers w:val="0"/>
        <w:spacing w:before="0" w:beforeAutospacing="0" w:after="0" w:afterAutospacing="0" w:line="360" w:lineRule="auto"/>
        <w:ind w:left="0" w:right="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（3）以公允价值计量且其变动计入当期损益的金融资产。</w:t>
      </w:r>
    </w:p>
    <w:p w14:paraId="64201D7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金融资产在初始确认时以公允价值计量，但是因销售商品或提供服务等产生的应收账款或应收票据未包含重大融资成分或不考虑不超过一年的融资成分的，按照交易价格进行初始计量。</w:t>
      </w:r>
    </w:p>
    <w:p w14:paraId="725CB35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对于以公允价值计量且其变动计入当期损益的金融资产，相关交易费用直接计入当期损益，其他类别的金融资产相关交易费用计入其初始确认金额。</w:t>
      </w:r>
    </w:p>
    <w:p w14:paraId="1321E64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金融资产的后续计量取决于其分类，当且仅当本公司改变管理金融资产的业务模式时，才对所有受影响的相关金融资产进行重分类。</w:t>
      </w:r>
    </w:p>
    <w:p w14:paraId="7A2FD75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（1）分类为以摊余成本计量的金融资产</w:t>
      </w:r>
    </w:p>
    <w:p w14:paraId="1FA2AE5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资产的合同条款规定在特定日期产生的现金流量仅为对本金和以未偿付本金金额为基础的利息的支付，且管理该金融资产的业务模式是以收取合同现金流量为目标，则本公司将该金融资产分类为以摊余成本计量的金融资产。本公司分类为以摊余成本计量的金融资产包括货币资金、应收票据及应收账款、其他应收款、长期应收款、债权投资等。</w:t>
      </w:r>
    </w:p>
    <w:p w14:paraId="3149615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此类金融资产采用实际利率法确认利息收入，按摊余成本进行后续计量，其发生减值时或终止确认、修改产生的利得或损失，计入当期损益。除下列情况外，本公司根据金融资产账面余额乘以实际利率计算确定利息收入：</w:t>
      </w:r>
    </w:p>
    <w:p w14:paraId="689F2CF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1）对于购入或源生的已发生信用减值的金融资产，本公司自初始确认起，按照该金融资产的摊余成本和经信用调整的实际利率计算确定其利息收入。</w:t>
      </w:r>
    </w:p>
    <w:p w14:paraId="3DABA78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对于购入或源生的未发生信用减值、但在后续期间成为已发生信用减值的金融资产，本公司在后续期间，按照该金融资产的摊余成本和实际利率计算确定其利息收入。若该金融工具在后续期间因其信用风险有所改善而不再存在信用减值，本公司转按实际利率乘以该金融资产账面余额来计算确定利息收入。</w:t>
      </w:r>
    </w:p>
    <w:p w14:paraId="02C7949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（2）分类为以公允价值计量且其变动计入其他综合收益的金融资产</w:t>
      </w:r>
    </w:p>
    <w:p w14:paraId="64CF48C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资产的合同条款规定在特定日期产生的现金流量仅为对本金和以未偿付本金金额为基础的利息的支付，且管理该金融资产的业务模式既以收取合同现金流量为目标又以出售该金融资产为目标，则本公司将该金融资产分类为以公允价值计量且其变动计入其他综合收益的金融资产。</w:t>
      </w:r>
    </w:p>
    <w:p w14:paraId="451B14A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此类金融资产采用实际利率法确认利息收入。除利息收入、减值损失及汇兑差额确认为当期损益外，其余公允价值变动计入其他综合收益。当该金融资产终止确认时，之前计入其他综合收益的累计利得或损失从其他综合收益中转出，计入当期损益。</w:t>
      </w:r>
    </w:p>
    <w:p w14:paraId="26118F6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以公允价值计量且变动计入其他综合收益的应收票据及应收账款列报为应收款项融资，其他此类金融资产列报为其他债权投资，其中：自资产负债表日起一年内到期的其他债权投资列报为一年内到期的非流动资产，原到期日在一年以内的其他债权投资列报为其他流动资产。</w:t>
      </w:r>
    </w:p>
    <w:p w14:paraId="6A84F26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（3）指定为以公允价值计量且其变动计入其他综合收益的金融资产</w:t>
      </w:r>
    </w:p>
    <w:p w14:paraId="2CB74B0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在初始确认时，本公司可以单项金融资产为基础不可撤销地将非交易性权益工具投资指定为以公允价值计量且其变动计入其他综合收益的金融资产。</w:t>
      </w:r>
    </w:p>
    <w:p w14:paraId="7486519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此类金融资产的公允价值变动计入其他综合收益，不需计提减值准备。该金融资产终止确认时，之前计入其他综合收益的累计利得或损失从其他综合收益中转出，计入留存收益。本公司持有该权益工具投资期间，在本公司收取股利的权利已经确立，与股利相关的经济利益很可能流入本公司，且股利的金额能够可靠计量时，确认股利收入并计入当期损益。本公司对此类金融资产在其他权益工具投资项目下列报。</w:t>
      </w:r>
    </w:p>
    <w:p w14:paraId="5B7C75E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权益工具投资满足下列条件之一的，属于以公允价值计量且其变动计入当期损益的金融资产：取得该金融资产的目的主要是为了近期出售；初始确认时属于集中管理的可辨认金融资产工具组合的一部分，且有客观证据表明近期实际存在短期获利模式；属于衍生工具（符合财务担保合同定义的以及被指定为有效套期工具的衍生工具除外）。</w:t>
      </w:r>
    </w:p>
    <w:p w14:paraId="019A3D2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（4）分类为以公允价值计量且其变动计入当期损益的金融资产</w:t>
      </w:r>
    </w:p>
    <w:p w14:paraId="4DEED70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不符合分类为以摊余成本计量或以公允价值计量且其变动计入其他综合收益的金融资产条件、亦不指定为以公允价值计量且其变动计入其他综合收益的金融资产均分类为以公允价值计量且其变动计入当期损益的金融资产。</w:t>
      </w:r>
    </w:p>
    <w:p w14:paraId="17B65A7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本公司对此类金融资产采用公允价值进行后续计量，将公允价值变动形成的利得或损失以及与此类金融资产相关的股利和利息收入计入当期损益。</w:t>
      </w:r>
    </w:p>
    <w:p w14:paraId="32E9556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本公司对此类金融资产根据其流动性在交易性金融资产、其他非流动金融资产项目列报。</w:t>
      </w:r>
    </w:p>
    <w:p w14:paraId="14FADE0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（5）指定为以公允价值计量且其变动计入当期损益的金融资产</w:t>
      </w:r>
    </w:p>
    <w:p w14:paraId="7D15432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在初始确认时，本公司为了消除或显著减少会计错配，可以单项金融资产为基础不可撤销地将金融资产指定为以公允价值计量且其变动计入当期损益的金融资产。</w:t>
      </w:r>
    </w:p>
    <w:p w14:paraId="7865920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混合合同包含一项或多项嵌入衍生工具，且其主合同不属于以上金融资产的，本公司可以将其整体指定为以公允价值计量且其变动计入当期损益的金融工具。但下列情况除外：</w:t>
      </w:r>
    </w:p>
    <w:p w14:paraId="0344F4A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1）嵌入衍生工具不会对混合合同的现金流量产生重大改变。</w:t>
      </w:r>
    </w:p>
    <w:p w14:paraId="30EF2E5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2）在初次确定类似的混合合同是否需要分拆时，几乎不需分析就能明确其包含的嵌入衍生工具不应分拆。如嵌入贷款的提前还款权，允许持有人以接近摊余成本的金额提前偿还贷款，该提前还款权不需要分拆。</w:t>
      </w:r>
    </w:p>
    <w:p w14:paraId="28124D4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本公司对此类金融资产采用公允价值进行后续计量，将公允价值变动形成的利得或损失以及与此类金融资产相关的股利和利息收入计入当期损益。</w:t>
      </w:r>
    </w:p>
    <w:p w14:paraId="4B5C062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本公司对此类金融资产根据其流动性在交易性金融资产、其他非流动金融资产项目列报。</w:t>
      </w:r>
    </w:p>
    <w:p w14:paraId="4E6F9BC3">
      <w:pPr>
        <w:pStyle w:val="4"/>
        <w:keepNext w:val="0"/>
        <w:keepLines w:val="0"/>
        <w:widowControl/>
        <w:suppressLineNumbers w:val="0"/>
        <w:spacing w:before="156" w:beforeAutospacing="0" w:after="0" w:afterAutospacing="0" w:line="360" w:lineRule="auto"/>
        <w:ind w:left="0" w:right="0"/>
        <w:jc w:val="both"/>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  2.金融负债的分类、确认和计量</w:t>
      </w:r>
    </w:p>
    <w:p w14:paraId="3806CD0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根据所发行金融工具的合同条款及其所反映的经济实质而非仅以法律形式，结合金融负债和权益工具的定义，在初始确认时将该金融工具或其组成部分分类为金融负债或权益工具。金融负债在初始确认时分类为：以公允价值计量且其变动计入当期损益的金融负债、其他金融负债、被指定为有效套期工具的衍生工具。</w:t>
      </w:r>
    </w:p>
    <w:p w14:paraId="53291CD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金融负债在初始确认时以公允价值计量。对于以公允价值计量且其变动计入当期损益的金融负债，相关的交易费用直接计入当期损益；对于其他类别的金融负债，相关交易费用计入初始确认金额。</w:t>
      </w:r>
    </w:p>
    <w:p w14:paraId="456955E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金融负债的后续计量取决于其分类：</w:t>
      </w:r>
    </w:p>
    <w:p w14:paraId="534DCDB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（1）以公允价值计量且其变动计入当期损益的金融负债</w:t>
      </w:r>
    </w:p>
    <w:p w14:paraId="1193277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此类金融负债包括交易性金融负债（含属于金融负债的衍生工具）和初始确认时指定为以公允价值计量且其变动计入当期损益的金融负债。</w:t>
      </w:r>
    </w:p>
    <w:p w14:paraId="2D6D788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满足下列条件之一的，属于交易性金融负债：承担相关金融负债的目的主要是为了在近期内出售或回购；属于集中管理的可辨认金融工具组合的一部分，且有客观证据表明企业近期采用短期获利方式模式；属于衍生工具，但是，被指定且为有效套期工具的衍生工具、符合财务担保合同的衍生工具除外。交易性金融负债（含属于金融负债的衍生工具），按照公允价值进行后续计量，除与套期会计有关外，所有公允价值变动均计入当期损益。</w:t>
      </w:r>
    </w:p>
    <w:p w14:paraId="3F0F326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在初始确认时，为了提供更相关的会计信息，本公司将满足下列条件之一的金融负债不可撤销地指定为以公允价值计量且其变动计入当期损益的金融负债：</w:t>
      </w:r>
    </w:p>
    <w:p w14:paraId="4E77802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1）能够消除或显著减少会计错配。</w:t>
      </w:r>
    </w:p>
    <w:p w14:paraId="56BF3D9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2）根据正式书面文件载明的企业风险管理或投资策略，以公允价值为基础对金融负债组合或金融资产和金融负债组合进行管理和业绩评价，并在企业内部以此为基础向关键管理人员报告。</w:t>
      </w:r>
    </w:p>
    <w:p w14:paraId="105AB3E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此类金融负债采用公允价值进行后续计量，除由本公司自身信用风险变动引起的公允价值变动计入其他综合收益之外，其他公允价值变动计入当期损益。除非由本公司自身信用风险变动引起的公允价值变动计入其他综合收益会造成或扩大损益中的会计错配，本公司将所有公允价值变动（包括自身信用风险变动的影响金额）计入当期损益。</w:t>
      </w:r>
    </w:p>
    <w:p w14:paraId="6C4FE5C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（2）其他金融负债</w:t>
      </w:r>
    </w:p>
    <w:p w14:paraId="6BC5193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除下列各项外，公司将金融负债分类为以摊余成本计量的金融负债，对此类金融负债采用实际利率法，按照摊余成本进行后续计量，终止确认或摊销产生的利得或损失计入当期损益：</w:t>
      </w:r>
    </w:p>
    <w:p w14:paraId="16DF480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1）以公允价值计量且其变动计入当期损益的金融负债。</w:t>
      </w:r>
    </w:p>
    <w:p w14:paraId="5FD461F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2）金融资产转移不符合终止确认条件或继续涉入被转移金融资产所形成的金融负债。</w:t>
      </w:r>
    </w:p>
    <w:p w14:paraId="5C52BFA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3）不属于本条前两类情形的财务担保合同，以及不属于本条第1）类情形的以低于市场利率贷款的贷款承诺。</w:t>
      </w:r>
    </w:p>
    <w:p w14:paraId="2399C78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财务担保合同是指当特定债务人到期不能按照最初或修改后的债务工具条款偿付债务时，要求发行方向蒙受损失的合同持有人赔付特定金额的合同。不属于指定为以公允价值计量且其变动计入当期损益的金融负债的财务担保合同，在初始确认后按照损失准备金额以及初始确认金额扣除担保期内的累计摊销额后的余额孰高进行计量。</w:t>
      </w:r>
    </w:p>
    <w:p w14:paraId="70DFBEC8">
      <w:pPr>
        <w:pStyle w:val="4"/>
        <w:keepNext w:val="0"/>
        <w:keepLines w:val="0"/>
        <w:widowControl/>
        <w:suppressLineNumbers w:val="0"/>
        <w:spacing w:before="156" w:beforeAutospacing="0" w:after="0" w:afterAutospacing="0" w:line="360" w:lineRule="auto"/>
        <w:ind w:left="0" w:right="0"/>
        <w:jc w:val="both"/>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  3.金融资产和金融负债的终止确认</w:t>
      </w:r>
    </w:p>
    <w:p w14:paraId="03345B2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（1）金融资产满足下列条件之一的，终止确认金融资产，即从其账户和资产负债表内予以转销：</w:t>
      </w:r>
    </w:p>
    <w:p w14:paraId="33AB2AF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1）收取该金融资产现金流量的合同权利终止。</w:t>
      </w:r>
    </w:p>
    <w:p w14:paraId="49DCFC9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2）该金融资产已转移，且该转移满足金融资产终止确认的规定。</w:t>
      </w:r>
    </w:p>
    <w:p w14:paraId="1AED965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金融负债终止确认条件</w:t>
      </w:r>
    </w:p>
    <w:p w14:paraId="4ED2DA7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（2）金融负债（或其一部分）的现时义务已经解除的，则终止确认该金融负债（或该部分金融负债）。</w:t>
      </w:r>
    </w:p>
    <w:p w14:paraId="7DBE505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与借出方之间签订协议，以承担新金融负债方式替换原金融负债，且新金融负债与原金融负债的合同条款实质上不同的，或对原金融负债（或其一部分）的合同条款做出实质性修改的，则终止确认原金融负债，同时确认一项新金融负债，账面价值与支付的对价（包括转出的非现金资产或承担的负债）之间的差额，计入当期损益。</w:t>
      </w:r>
    </w:p>
    <w:p w14:paraId="464EDA2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回购金融负债一部分的，按照继续确认部分和终止确认部分在回购日各自的公允价值占整体公允价值的比例，对该金融负债整体的账面价值进行分配。分配给终止确认部分的账面价值与支付的对价（包括转出的非现金资产或承担的负债）之间的差额，应当计入当期损益。</w:t>
      </w:r>
    </w:p>
    <w:p w14:paraId="13AE0F2E">
      <w:pPr>
        <w:pStyle w:val="4"/>
        <w:keepNext w:val="0"/>
        <w:keepLines w:val="0"/>
        <w:widowControl/>
        <w:suppressLineNumbers w:val="0"/>
        <w:spacing w:before="156" w:beforeAutospacing="0" w:after="0" w:afterAutospacing="0" w:line="360" w:lineRule="auto"/>
        <w:ind w:left="0" w:right="0"/>
        <w:jc w:val="both"/>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  4.金融资产转移的确认依据和计量方法</w:t>
      </w:r>
    </w:p>
    <w:p w14:paraId="2216F50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本公司在发生金融资产转移时，评估其保留金融资产所有权上的风险和报酬的程度，并分别下列情形处理：</w:t>
      </w:r>
    </w:p>
    <w:p w14:paraId="02FE6FE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（1）转移了金融资产所有权上几乎所有风险和报酬的，则终止确认该金融资产，并将转移中产生或保留的权利和义务单独确认为资产或负债。</w:t>
      </w:r>
    </w:p>
    <w:p w14:paraId="6F06DF5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（2）保留了金融资产所有权上几乎所有风险和报酬的，则继续确认该金融资产。</w:t>
      </w:r>
    </w:p>
    <w:p w14:paraId="54677E9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（3）既没有转移也没有保留金融资产所有权上几乎所有风险和报酬的（即除本条（1）、（2）之外的其他情形），则根据其是否保留了对金融资产的控制，分别下列情形处理：</w:t>
      </w:r>
    </w:p>
    <w:p w14:paraId="36D9B1F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1）未保留对该金融资产控制的，则终止确认该金融资产，并将转移中产生或保留的权利和义务单独确认为资产或负债。</w:t>
      </w:r>
    </w:p>
    <w:p w14:paraId="3818C01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保留了对该金融资产控制的，则按照其继续涉入被转移金融资产的程度继续确认有关金融资产，并相应确认相关负债。继续涉入被转移金融资产的程度，是指本公司承担的被转移金融资产价值变动风险或报酬的程度。</w:t>
      </w:r>
    </w:p>
    <w:p w14:paraId="37C8CF1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在判断金融资产转移是否满足上述金融资产终止确认条件时，采用实质重于形式的原则。公司将金融资产转移区分为金融资产整体转移和部分转移。</w:t>
      </w:r>
    </w:p>
    <w:p w14:paraId="1FF1593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（2）金融资产整体转移满足终止确认条件的，将下列两项金额的差额计入当期损益：</w:t>
      </w:r>
    </w:p>
    <w:p w14:paraId="6E8A227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1）被转移金融资产在终止确认日的账面价值。</w:t>
      </w:r>
    </w:p>
    <w:p w14:paraId="76A68D5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2）因转移金融资产而收到的对价，与原直接计入其他综合收益的公允价值变动累计额中对应终止确认部分的金额（涉及转移的金融资产为以公允价值计量且其变动计入其他综合收益的金融资产）之和。</w:t>
      </w:r>
    </w:p>
    <w:p w14:paraId="63D468A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资产部分转移且该被转移部分整体满足终止确认条件的，将转移前金融资产整体的账面价值，在终止确认部分和继续确认部分（在此种情形下，所保留的服务资产应当视同继续确认金融资产的一部分）之间，按照转移日各自的相对公允价值进行分摊，并将下列两项金额的差额计入当期损益：</w:t>
      </w:r>
    </w:p>
    <w:p w14:paraId="3D8F183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1）终止确认部分在终止确认日的账面价值。</w:t>
      </w:r>
    </w:p>
    <w:p w14:paraId="76588AC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2）终止确认部分收到的对价，与原计入其他综合收益的公允价值变动累计额中对应终止确认部分的金额（涉及转移的金融资产为以公允价值计量且其变动计入其他综合收益的金融资产）之和。</w:t>
      </w:r>
    </w:p>
    <w:p w14:paraId="2D0A5D8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金融资产转移不满足终止确认条件的，继续确认该金融资产，所收到的对价确认为一项金融负债。</w:t>
      </w:r>
    </w:p>
    <w:p w14:paraId="1310F0F5">
      <w:pPr>
        <w:pStyle w:val="4"/>
        <w:keepNext w:val="0"/>
        <w:keepLines w:val="0"/>
        <w:widowControl/>
        <w:suppressLineNumbers w:val="0"/>
        <w:spacing w:before="156" w:beforeAutospacing="0" w:after="0" w:afterAutospacing="0" w:line="360" w:lineRule="auto"/>
        <w:ind w:left="0" w:right="0"/>
        <w:jc w:val="both"/>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  5.金融资产和金融负债公允价值的确定方法</w:t>
      </w:r>
    </w:p>
    <w:p w14:paraId="30FDB79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存在活跃市场的金融资产或金融负债，以活跃市场的报价确定其公允价值，除非该项金融资产存在针对资产本身的限售期。对于针对资产本身的限售的金融资产，按照活跃市场的报价扣除市场参与者因承担指定期间内无法在公开市场上出售该金融资产的风险而要求获得的补偿金额后确定。活跃市场的报价包括易于且可定期从交易所、交易商、经纪人、行业集团、定价机构或监管机构等获得相关资产或负债的报价，且能代表在公平交易基础上实际并经常发生的市场交易。</w:t>
      </w:r>
    </w:p>
    <w:p w14:paraId="3B051D0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初始取得或衍生的金融资产或承担的金融负债，以市场交易价格作为确定其公允价值的基础。</w:t>
      </w:r>
    </w:p>
    <w:p w14:paraId="722347D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不存在活跃市场的金融资产或金融负债，采用估值技术确定其公允价值。在估值时，本公司采用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的情况下，使用不可观察输入值。</w:t>
      </w:r>
    </w:p>
    <w:p w14:paraId="5141C8D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b/>
          <w:bCs/>
          <w:color w:val="auto"/>
          <w:sz w:val="21"/>
          <w:szCs w:val="21"/>
        </w:rPr>
        <w:t> 6.金融工具减值</w:t>
      </w:r>
    </w:p>
    <w:p w14:paraId="0A2EAD46">
      <w:pPr>
        <w:pStyle w:val="4"/>
        <w:keepNext w:val="0"/>
        <w:keepLines w:val="0"/>
        <w:widowControl/>
        <w:suppressLineNumbers w:val="0"/>
        <w:spacing w:before="6"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2951942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本公司对以摊余成本计量的金融资产、分类为以公允价值计量且其变动计入其他综合收益的金融资产以及财务担保合同以预期信用损失为基础进行减值会计处理并确认损失准备。</w:t>
      </w:r>
    </w:p>
    <w:p w14:paraId="0DF954F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预期信用损失，是指以发生违约的风险为权重的金融工具信用损失的加权平均值。信用损失，是指本公司按照原实际利率折现的、根据合同应收的所有合同现金流量与预期收取的所有现金流量之间的差额，即全部现金短缺的现值。其中，对于本公司购买或源生的已发生信用减值的金融资产，应按照该金融资产经信用调整的实际利率折现。</w:t>
      </w:r>
    </w:p>
    <w:p w14:paraId="2E8B8E5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对由收入准则规范的交易形成的应收款项，本公司运用简化计量方法，按照相当于整个存续期内预期信用损失的金额计量损失准备。</w:t>
      </w:r>
    </w:p>
    <w:p w14:paraId="248AFED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购买或源生的已发生信用减值的金融资产，在资产负债表日仅将自初始确认后整个存续期内预期信用损失的累计变动确认为损失准备。在每个资产负债表日，将整个存续期内预期信用损失的变动金额作为减值损失或利得计入当期损益。即使该资产负债表日确定的整个存续期内预期信用损失小于初始确认时估计现金流量所反映的预期信用损失的金额，也将预期信用损失的有利变动确认为减值利得。</w:t>
      </w:r>
    </w:p>
    <w:p w14:paraId="0126837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除上述采用简化计量方法和购买或源生的已发生信用减值以外的其他金融资产，本公司在每个资产负债表日评估相关金融工具的信用风险自初始确认后是否已显著增加，并按照下列情形分别计量其损失准备、确认预期信用损失及其变动：</w:t>
      </w:r>
    </w:p>
    <w:p w14:paraId="5390F42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（1）如果该金融工具的信用风险自初始确认后并未显著增加，处于第一阶段，则按照相当于该金融工具未来12个月内预期信用损失的金额计量其损失准备，并按照账面余额和实际利率计算利息收入。</w:t>
      </w:r>
    </w:p>
    <w:p w14:paraId="67DADE2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如果该金融工具的信用风险自初始确认后已显著增加但尚未发生信用减值的，处于第二阶段，则按照相当于该金融工具整个存续期内预期信用损失的金额计量其损失准备，并按照账面余额和实际利率计算利息收入。</w:t>
      </w:r>
    </w:p>
    <w:p w14:paraId="66A5FD1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（3）如果该金融工具自初始确认后已经发生信用减值的，处于第三阶段，本公司按照相当于该金融工具整个存续期内预期信用损失的金额计量其损失准备，并按照摊余成本和实际利率计算利息收入。</w:t>
      </w:r>
    </w:p>
    <w:p w14:paraId="2CD4DB4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工具信用损失准备的增加或转回金额，作为减值损失或利得计入当期损益。除分类为以公允价值计量且其变动计入其他综合收益的金融资产外，信用损失准备抵减金融资产的账面余额。对于分类为以公允价值计量且其变动计入其他综合收益的金融资产，本公司在其他综合收益中确认其信用损失准备，不减少该金融资产在资产负债表中列示的账面价值。本公司在前一会计期间已经按照相当于金融工具整个存续期内预期信用损失的金额计</w:t>
      </w:r>
    </w:p>
    <w:p w14:paraId="6591FF8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量了损失准备，但在当期资产负债表日，该金融工具已不再属于自初始确认后信用风险显著增加的情形的，本公司在当期资产负债表日按照相当于未来12个月内预期信用损失的金额计量该金融工具的损失准备，由此形成的损失准备的转回金额作为减值利得计入当期损益。</w:t>
      </w:r>
    </w:p>
    <w:p w14:paraId="11559DF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（1）信用风险显著增加</w:t>
      </w:r>
    </w:p>
    <w:p w14:paraId="519CA3C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利用可获得的合理且有依据的前瞻性信息，通过比较金融工具在资产负债表日发生违约的风险与在初始确认日发生违约的风险，以确定金融工具的信用风险自初始确认后是否已显著增加。对于财务担保合同，本公司在应用金融工具减值规定时，将本公司成为做出不可撤销承诺的一方之日作为初始确认日。</w:t>
      </w:r>
    </w:p>
    <w:p w14:paraId="4E7C356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本公司在评估信用风险是否显著增加时会考虑如下因素：1）债务人经营成果实际或预期是否发生显著变化；</w:t>
      </w:r>
    </w:p>
    <w:p w14:paraId="405C744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1）债务人所处的监管、经济或技术环境是否发生显著不利变化；</w:t>
      </w:r>
    </w:p>
    <w:p w14:paraId="3F9D540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2）作为债务抵押的担保物价值或第三方提供的担保或信用增级质量是否发生显著变化，这些变化预期将降低债务人按合同规定期限还款的经济动机或者影响违约概率；</w:t>
      </w:r>
    </w:p>
    <w:p w14:paraId="4056AE9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3）债务人预期表现和还款行为是否发生显著变化；</w:t>
      </w:r>
    </w:p>
    <w:p w14:paraId="0806A98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4）本公司对金融工具信用管理方法是否发生变化等。</w:t>
      </w:r>
    </w:p>
    <w:p w14:paraId="184C226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于资产负债表日，若本公司判断金融工具只具有较低的信用风险，则本公司假定该金融工具的信用风险自初始确认后并未显著增加。如果金融工具的违约风险较低，借款人在短期内履行其合同现金流量义务的能力很强，并且即使较长时期内经济形势和经营环境存在不利变化，但未必一定降低借款人履行其合同现金流量义务的能力，则该金融工具被视为具有较低的信用风险。</w:t>
      </w:r>
    </w:p>
    <w:p w14:paraId="3CB8308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（2）已发生信用减值的金融资产</w:t>
      </w:r>
    </w:p>
    <w:p w14:paraId="16BE8A2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当对金融资产预期未来现金流量具有不利影响的一项或多项事件发生时，该金融资产成为已发生信用减值的金融资产。金融资产已发生信用减值的证据包括下列可观察信息：</w:t>
      </w:r>
    </w:p>
    <w:p w14:paraId="4055630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1）发行方或债务人发生重大财务困难；</w:t>
      </w:r>
    </w:p>
    <w:p w14:paraId="0B4EC46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2）债务人违反合同，如偿付利息或本金违约或逾期等；</w:t>
      </w:r>
    </w:p>
    <w:p w14:paraId="39CD962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3）债权人出于与债务人财务困难有关的经济或合同考虑，给予债务人在任何其他情况下都不会做出的让步；</w:t>
      </w:r>
    </w:p>
    <w:p w14:paraId="7D16E1B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4）债务人很可能破产或进行其他财务重组；</w:t>
      </w:r>
    </w:p>
    <w:p w14:paraId="656C599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5）发行方或债务人财务困难导致该金融资产的活跃市场消失；</w:t>
      </w:r>
    </w:p>
    <w:p w14:paraId="129EC9E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6）以大幅折扣购买或源生一项金融资产，该折扣反映了发生信用损失的事实。</w:t>
      </w:r>
    </w:p>
    <w:p w14:paraId="20966F2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金融资产发生信用减值，有可能是多个事件的共同作用所致，未必是可单独识别的事件所致。</w:t>
      </w:r>
    </w:p>
    <w:p w14:paraId="0C2CDDE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（3）预期信用损失的确定</w:t>
      </w:r>
    </w:p>
    <w:p w14:paraId="525ABF5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本公司基于单项和组合评估金融工具的预期信用损失，在评估预期信用损失时，考虑有关过去事项、当前状况以及未来经济状况预测的合理且有依据的信息。</w:t>
      </w:r>
    </w:p>
    <w:p w14:paraId="20B900B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以共同信用风险特征为依据，将金融工具分为不同组合。本公司采用的共同信用风险特征包括：金融工具类型、信用风险评级、账龄组合、合同结算周期、债务人所处行业等。相关金融工具的单项评估标准和组合信用风险特征详见相关金融工具的会计政策。</w:t>
      </w:r>
    </w:p>
    <w:p w14:paraId="22ABD37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1）本公司按照下列方法确定相关金融工具的预期信用损失：</w:t>
      </w:r>
    </w:p>
    <w:p w14:paraId="59DCEB0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2）对于金融资产，信用损失为本公司应收取的合同现金流量与预期收取的现金流量之间差额的现值。</w:t>
      </w:r>
    </w:p>
    <w:p w14:paraId="445A9A6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3）对于租赁应收款项，信用损失为本公司应收取的合同现金流量与预期收取的现金流量之间差额的现值。</w:t>
      </w:r>
    </w:p>
    <w:p w14:paraId="747B5DB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4）对于财务担保合同，信用损失为本公司就该合同持有人发生的信用损失向其做出赔付的预计付款额，减去本公司预期向该合同持有人、债务人或任何其他方收取的金额之间差额的现值。</w:t>
      </w:r>
    </w:p>
    <w:p w14:paraId="2B01683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对于资产负债表日已发生信用减值但并非购买或源生已发生信用减值的金融资产，信用损失为该金融资产账面余额与按原实际利率折现的估计未来现金流量的现值之间的差额。</w:t>
      </w:r>
    </w:p>
    <w:p w14:paraId="0BDEDA7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计量金融工具预期信用损失的方法反映的因素包括：通过评价一系列可能的结果而确定的无偏概率加权平均金额；货币时间价值；在资产负债表日无须付出不必要的额外成本或努力即可获得的有关过去事项、当前状况以及未来经济状况预测的合理且有依据的信息。</w:t>
      </w:r>
    </w:p>
    <w:p w14:paraId="714564B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（4）减记金融资产</w:t>
      </w:r>
    </w:p>
    <w:p w14:paraId="65AC185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当本公司不再合理预期金融资产合同现金流量能够全部或部分收回的，直接减记该金融资产的账面余额。这种减记构成相关金融资产的终止确认。</w:t>
      </w:r>
    </w:p>
    <w:p w14:paraId="0B500A5A">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7.金融资产及金融负债的抵销</w:t>
      </w:r>
    </w:p>
    <w:p w14:paraId="3FF032E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金融资产和金融负债在资产负债表内分别列示，没有相互抵销。但是，同时满足下列条件的，以相互抵销后的净额在资产负债表内列示：</w:t>
      </w:r>
    </w:p>
    <w:p w14:paraId="1CD0AEE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（1）本公司具有抵销已确认金额的法定权利，且该种法定权利是当前可执行的；</w:t>
      </w:r>
    </w:p>
    <w:p w14:paraId="781784A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（2）本公司计划以净额结算，或同时变现该金融资产和清偿该金融负债。</w:t>
      </w:r>
    </w:p>
    <w:p w14:paraId="2B1FFBBF">
      <w:pPr>
        <w:keepNext/>
        <w:keepLines/>
        <w:spacing w:before="300" w:after="300" w:line="280" w:lineRule="exact"/>
        <w:jc w:val="left"/>
        <w:outlineLvl w:val="2"/>
        <w:rPr>
          <w:rFonts w:ascii="宋体" w:hAnsi="宋体" w:eastAsia="宋体" w:cs="宋体"/>
          <w:b/>
          <w:bCs/>
          <w:color w:val="auto"/>
          <w:sz w:val="21"/>
          <w:szCs w:val="21"/>
        </w:rPr>
      </w:pPr>
      <w:bookmarkStart w:id="27" w:name="_Toc989003"/>
      <w:r>
        <w:rPr>
          <w:rFonts w:ascii="宋体" w:hAnsi="宋体" w:eastAsia="宋体" w:cs="宋体"/>
          <w:b/>
          <w:bCs/>
          <w:color w:val="auto"/>
          <w:sz w:val="21"/>
          <w:szCs w:val="21"/>
        </w:rPr>
        <w:t>12、应收票据</w:t>
      </w:r>
      <w:bookmarkEnd w:id="27"/>
    </w:p>
    <w:p w14:paraId="1E30917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本公司对应收票据的预期信用损失的确定方法及会计处理方法详见本附注（十二）6.金融工具减值。</w:t>
      </w:r>
    </w:p>
    <w:p w14:paraId="79B044D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当在单项工具层面无法以合理成本评估预期信用损失的充分证据时，本公司参考历史信用损失经验，结合当前状况以及对未来经济状况的判断，依据信用风险特征将应收票据划分为若干组合，在组合基础上计算预期信用损失。确定组合的依据如下：</w:t>
      </w:r>
    </w:p>
    <w:tbl>
      <w:tblPr>
        <w:tblStyle w:val="5"/>
        <w:tblW w:w="877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382"/>
        <w:gridCol w:w="3721"/>
        <w:gridCol w:w="3667"/>
      </w:tblGrid>
      <w:tr w14:paraId="79247A7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1382"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528A696">
            <w:pPr>
              <w:pStyle w:val="4"/>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组合名称</w:t>
            </w:r>
          </w:p>
        </w:tc>
        <w:tc>
          <w:tcPr>
            <w:tcW w:w="372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E14ECBA">
            <w:pPr>
              <w:pStyle w:val="4"/>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确定组合的依据</w:t>
            </w:r>
          </w:p>
        </w:tc>
        <w:tc>
          <w:tcPr>
            <w:tcW w:w="366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6CBF649">
            <w:pPr>
              <w:pStyle w:val="4"/>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计提方法</w:t>
            </w:r>
          </w:p>
        </w:tc>
      </w:tr>
      <w:tr w14:paraId="479AD6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138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9F7C380">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低风险银行承兑票据组合</w:t>
            </w:r>
          </w:p>
        </w:tc>
        <w:tc>
          <w:tcPr>
            <w:tcW w:w="372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D21BAB2">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出票人具有较高的信用评级，历史上未发生票据违</w:t>
            </w:r>
            <w:r>
              <w:rPr>
                <w:rFonts w:hint="eastAsia" w:ascii="宋体" w:hAnsi="宋体" w:eastAsia="宋体" w:cs="宋体"/>
                <w:color w:val="auto"/>
                <w:spacing w:val="-1"/>
                <w:sz w:val="18"/>
                <w:szCs w:val="18"/>
              </w:rPr>
              <w:t>约，信用损失风险极低，在短期内履行其支付合同现</w:t>
            </w:r>
            <w:r>
              <w:rPr>
                <w:rFonts w:hint="eastAsia" w:ascii="宋体" w:hAnsi="宋体" w:eastAsia="宋体" w:cs="宋体"/>
                <w:color w:val="auto"/>
                <w:sz w:val="18"/>
                <w:szCs w:val="18"/>
              </w:rPr>
              <w:t>金流量义务的能力很强</w:t>
            </w:r>
          </w:p>
        </w:tc>
        <w:tc>
          <w:tcPr>
            <w:tcW w:w="36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1A739EA">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参考历史信用损失经验，结合当前状况以及对未来经济状况的预期计量预期信用损失</w:t>
            </w:r>
          </w:p>
        </w:tc>
      </w:tr>
      <w:tr w14:paraId="53BD46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1382"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5A86CC41">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商业承兑汇票</w:t>
            </w:r>
          </w:p>
        </w:tc>
        <w:tc>
          <w:tcPr>
            <w:tcW w:w="372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A18BBC0">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相较于银行承兑汇票，信用损失风险较高</w:t>
            </w:r>
          </w:p>
        </w:tc>
        <w:tc>
          <w:tcPr>
            <w:tcW w:w="36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640EC76">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参考历史信用损失经验，结合当前状况以及对未来经济状况的预期计量坏账准备</w:t>
            </w:r>
          </w:p>
        </w:tc>
      </w:tr>
    </w:tbl>
    <w:p w14:paraId="6617F00F">
      <w:pPr>
        <w:keepNext/>
        <w:keepLines/>
        <w:spacing w:before="300" w:after="300" w:line="280" w:lineRule="exact"/>
        <w:jc w:val="left"/>
        <w:outlineLvl w:val="2"/>
        <w:rPr>
          <w:rFonts w:ascii="宋体" w:hAnsi="宋体" w:eastAsia="宋体" w:cs="宋体"/>
          <w:b/>
          <w:bCs/>
          <w:color w:val="auto"/>
          <w:sz w:val="21"/>
          <w:szCs w:val="21"/>
        </w:rPr>
      </w:pPr>
      <w:bookmarkStart w:id="28" w:name="_Toc989004"/>
      <w:r>
        <w:rPr>
          <w:rFonts w:ascii="宋体" w:hAnsi="宋体" w:eastAsia="宋体" w:cs="宋体"/>
          <w:b/>
          <w:bCs/>
          <w:color w:val="auto"/>
          <w:sz w:val="21"/>
          <w:szCs w:val="21"/>
        </w:rPr>
        <w:t>13、应收账款</w:t>
      </w:r>
      <w:bookmarkEnd w:id="28"/>
    </w:p>
    <w:p w14:paraId="2AA8DF9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本公司对应收账款的预期信用损失的确定方法及会计处理方法详见本附注（十二）6.金融工具减值。</w:t>
      </w:r>
    </w:p>
    <w:p w14:paraId="67FCCEC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当在单项工具层面无法以合理成本评估预期信用损失的充分证据时，本公司参考历史信用损失经验，结合当前状况以及对未来经济状况的判断，依据信用风险特征将应收账款划分为若干组合，在组合基础上计算预期信用损失。确定组合的依据如下：</w:t>
      </w:r>
    </w:p>
    <w:tbl>
      <w:tblPr>
        <w:tblStyle w:val="5"/>
        <w:tblW w:w="877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835"/>
        <w:gridCol w:w="2268"/>
        <w:gridCol w:w="3667"/>
      </w:tblGrid>
      <w:tr w14:paraId="4EF258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835"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54CA01C">
            <w:pPr>
              <w:pStyle w:val="4"/>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组合名称</w:t>
            </w:r>
          </w:p>
        </w:tc>
        <w:tc>
          <w:tcPr>
            <w:tcW w:w="2268"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C0142E5">
            <w:pPr>
              <w:pStyle w:val="4"/>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确定组合的依据</w:t>
            </w:r>
          </w:p>
        </w:tc>
        <w:tc>
          <w:tcPr>
            <w:tcW w:w="366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9647FD9">
            <w:pPr>
              <w:pStyle w:val="4"/>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计提方法</w:t>
            </w:r>
          </w:p>
        </w:tc>
      </w:tr>
      <w:tr w14:paraId="721FEA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283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29E15EB5">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经销及外包推广模式客户组合</w:t>
            </w:r>
          </w:p>
        </w:tc>
        <w:tc>
          <w:tcPr>
            <w:tcW w:w="226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C76571C">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按业务模式分类</w:t>
            </w:r>
          </w:p>
        </w:tc>
        <w:tc>
          <w:tcPr>
            <w:tcW w:w="36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CB95A04">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矩阵模型分析法</w:t>
            </w:r>
          </w:p>
        </w:tc>
      </w:tr>
      <w:tr w14:paraId="12407B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283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441D858">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自主推广模式组合</w:t>
            </w:r>
          </w:p>
        </w:tc>
        <w:tc>
          <w:tcPr>
            <w:tcW w:w="226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10B391C5">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按业务模式分类</w:t>
            </w:r>
          </w:p>
        </w:tc>
        <w:tc>
          <w:tcPr>
            <w:tcW w:w="36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86632D2">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矩阵模型分析法</w:t>
            </w:r>
          </w:p>
        </w:tc>
      </w:tr>
    </w:tbl>
    <w:p w14:paraId="688A8E1E">
      <w:pPr>
        <w:keepNext/>
        <w:keepLines/>
        <w:spacing w:before="300" w:after="300" w:line="280" w:lineRule="exact"/>
        <w:jc w:val="left"/>
        <w:outlineLvl w:val="2"/>
        <w:rPr>
          <w:rFonts w:ascii="宋体" w:hAnsi="宋体" w:eastAsia="宋体" w:cs="宋体"/>
          <w:b/>
          <w:bCs/>
          <w:color w:val="auto"/>
          <w:sz w:val="21"/>
          <w:szCs w:val="21"/>
        </w:rPr>
      </w:pPr>
      <w:bookmarkStart w:id="29" w:name="_Toc989005"/>
      <w:r>
        <w:rPr>
          <w:rFonts w:ascii="宋体" w:hAnsi="宋体" w:eastAsia="宋体" w:cs="宋体"/>
          <w:b/>
          <w:bCs/>
          <w:color w:val="auto"/>
          <w:sz w:val="21"/>
          <w:szCs w:val="21"/>
        </w:rPr>
        <w:t>14、应收款项融资</w:t>
      </w:r>
      <w:bookmarkEnd w:id="29"/>
    </w:p>
    <w:p w14:paraId="18A7AA0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本公司对应收款项融资的预期信用损失的确定方法及会计处理方法详见本附注（十二）金融工具减值。</w:t>
      </w:r>
    </w:p>
    <w:p w14:paraId="027206E7">
      <w:pPr>
        <w:keepNext/>
        <w:keepLines/>
        <w:spacing w:before="300" w:after="300" w:line="280" w:lineRule="exact"/>
        <w:jc w:val="left"/>
        <w:outlineLvl w:val="2"/>
        <w:rPr>
          <w:rFonts w:ascii="宋体" w:hAnsi="宋体" w:eastAsia="宋体" w:cs="宋体"/>
          <w:b/>
          <w:bCs/>
          <w:color w:val="auto"/>
          <w:sz w:val="21"/>
          <w:szCs w:val="21"/>
        </w:rPr>
      </w:pPr>
      <w:bookmarkStart w:id="30" w:name="_Toc989006"/>
      <w:r>
        <w:rPr>
          <w:rFonts w:ascii="宋体" w:hAnsi="宋体" w:eastAsia="宋体" w:cs="宋体"/>
          <w:b/>
          <w:bCs/>
          <w:color w:val="auto"/>
          <w:sz w:val="21"/>
          <w:szCs w:val="21"/>
        </w:rPr>
        <w:t>15、其他应收款</w:t>
      </w:r>
      <w:bookmarkEnd w:id="30"/>
    </w:p>
    <w:p w14:paraId="1680689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其他应收款的预期信用损失的确定方法及会计处理方法</w:t>
      </w:r>
    </w:p>
    <w:p w14:paraId="718D6CE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本公司对其他应收款的预期信用损失的确定方法及会计处理方法详见本附注（十二）6.金融工具减值。</w:t>
      </w:r>
    </w:p>
    <w:p w14:paraId="30D0E9F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当在单项工具层面无法以合理成本评估预期信用损失的充分证据时，本公司参考历史信用损失经验，结合当前状况以及对未来经济状况的判断，依据信用风险特征将其他应收款划分为若干组合，在组合基础上计算预期信用损失。确定组合的依据如下：</w:t>
      </w:r>
    </w:p>
    <w:tbl>
      <w:tblPr>
        <w:tblStyle w:val="5"/>
        <w:tblW w:w="877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835"/>
        <w:gridCol w:w="1985"/>
        <w:gridCol w:w="3950"/>
      </w:tblGrid>
      <w:tr w14:paraId="7457DD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835"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0F10E41">
            <w:pPr>
              <w:pStyle w:val="4"/>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组合名称</w:t>
            </w:r>
          </w:p>
        </w:tc>
        <w:tc>
          <w:tcPr>
            <w:tcW w:w="198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2B588AB">
            <w:pPr>
              <w:pStyle w:val="4"/>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确定组合的依据</w:t>
            </w:r>
          </w:p>
        </w:tc>
        <w:tc>
          <w:tcPr>
            <w:tcW w:w="39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A018E70">
            <w:pPr>
              <w:pStyle w:val="4"/>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计提方法</w:t>
            </w:r>
          </w:p>
        </w:tc>
      </w:tr>
      <w:tr w14:paraId="065430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283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8A00640">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并表范围关联方</w:t>
            </w:r>
          </w:p>
        </w:tc>
        <w:tc>
          <w:tcPr>
            <w:tcW w:w="198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2D0AE58">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款项性质及风险特征</w:t>
            </w:r>
          </w:p>
        </w:tc>
        <w:tc>
          <w:tcPr>
            <w:tcW w:w="39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E47B651">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该组合的信用风险不会因违约而产生重大损失，不计提坏账准备</w:t>
            </w:r>
          </w:p>
        </w:tc>
      </w:tr>
      <w:tr w14:paraId="04ED75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283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594DEF4">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信用组合</w:t>
            </w:r>
          </w:p>
        </w:tc>
        <w:tc>
          <w:tcPr>
            <w:tcW w:w="198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A1DD35D">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款项性质及风险特征</w:t>
            </w:r>
          </w:p>
        </w:tc>
        <w:tc>
          <w:tcPr>
            <w:tcW w:w="39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E8F9CF7">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按账龄与整个存续期预期信用损失率对照表计提</w:t>
            </w:r>
          </w:p>
        </w:tc>
      </w:tr>
      <w:tr w14:paraId="4955313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38" w:hRule="atLeast"/>
        </w:trPr>
        <w:tc>
          <w:tcPr>
            <w:tcW w:w="283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CE3FCC9">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押金、保证金、员工备用金组合</w:t>
            </w:r>
          </w:p>
        </w:tc>
        <w:tc>
          <w:tcPr>
            <w:tcW w:w="198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2145E92">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款项性质及风险特征</w:t>
            </w:r>
          </w:p>
        </w:tc>
        <w:tc>
          <w:tcPr>
            <w:tcW w:w="39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EF7FC21">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该组合的信用风险不会因违约而产生重大损失，不计提坏账准备</w:t>
            </w:r>
          </w:p>
        </w:tc>
      </w:tr>
    </w:tbl>
    <w:p w14:paraId="4193F52D">
      <w:pPr>
        <w:keepNext/>
        <w:keepLines/>
        <w:spacing w:before="300" w:after="300" w:line="280" w:lineRule="exact"/>
        <w:jc w:val="left"/>
        <w:outlineLvl w:val="2"/>
        <w:rPr>
          <w:rFonts w:ascii="宋体" w:hAnsi="宋体" w:eastAsia="宋体" w:cs="宋体"/>
          <w:b/>
          <w:bCs/>
          <w:color w:val="auto"/>
          <w:sz w:val="21"/>
          <w:szCs w:val="21"/>
        </w:rPr>
      </w:pPr>
      <w:bookmarkStart w:id="31" w:name="_Toc989007"/>
      <w:r>
        <w:rPr>
          <w:rFonts w:ascii="宋体" w:hAnsi="宋体" w:eastAsia="宋体" w:cs="宋体"/>
          <w:b/>
          <w:bCs/>
          <w:color w:val="auto"/>
          <w:sz w:val="21"/>
          <w:szCs w:val="21"/>
        </w:rPr>
        <w:t>16、合同资产</w:t>
      </w:r>
      <w:bookmarkEnd w:id="31"/>
    </w:p>
    <w:p w14:paraId="527CBD3D">
      <w:pPr>
        <w:keepNext/>
        <w:keepLines/>
        <w:spacing w:before="300" w:after="300" w:line="280" w:lineRule="exact"/>
        <w:jc w:val="left"/>
        <w:outlineLvl w:val="2"/>
        <w:rPr>
          <w:rFonts w:ascii="宋体" w:hAnsi="宋体" w:eastAsia="宋体" w:cs="宋体"/>
          <w:b/>
          <w:bCs/>
          <w:color w:val="auto"/>
          <w:sz w:val="21"/>
          <w:szCs w:val="21"/>
        </w:rPr>
      </w:pPr>
      <w:bookmarkStart w:id="32" w:name="_Toc989008"/>
      <w:r>
        <w:rPr>
          <w:rFonts w:ascii="宋体" w:hAnsi="宋体" w:eastAsia="宋体" w:cs="宋体"/>
          <w:b/>
          <w:bCs/>
          <w:color w:val="auto"/>
          <w:sz w:val="21"/>
          <w:szCs w:val="21"/>
        </w:rPr>
        <w:t>17、存货</w:t>
      </w:r>
      <w:bookmarkEnd w:id="32"/>
    </w:p>
    <w:p w14:paraId="77EDB1A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1.存货类别</w:t>
      </w:r>
    </w:p>
    <w:p w14:paraId="0783D8F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存货是指本公司在日常活动中持有以备出售的产成品或商品、处在生产过程中的在产品、在生产过程或提供劳务过程中耗用的材料和物料等。主要包括原材料、周转材料、委托加工材料、在产品、半成品、产成品（库存商品）、发出商品等。</w:t>
      </w:r>
    </w:p>
    <w:p w14:paraId="21D311F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2.存货发出计价方法</w:t>
      </w:r>
    </w:p>
    <w:p w14:paraId="5687BB8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存货在取得时，按成本进行初始计量，包括采购成本、加工成本和其他成本。存货发出时按月末一次加权平均法计价。</w:t>
      </w:r>
    </w:p>
    <w:p w14:paraId="39C2B2F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3.存货的盘存制度</w:t>
      </w:r>
    </w:p>
    <w:p w14:paraId="75727AE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存货盘存制度为永续盘存制。</w:t>
      </w:r>
    </w:p>
    <w:p w14:paraId="77DBC7D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4.存货跌价准备的确认标准和计提方法</w:t>
      </w:r>
    </w:p>
    <w:p w14:paraId="4307CE5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期末对存货进行全面清查后，按存货的成本与可变现净值孰低提取或调整存货跌价准备。产成品、库存商品和用于出售的材料等直接用于出售的商品存货，在正常生产经营过程中，以该存货的估计售价减去估计的销售费用和相关税费后的金额，确定其可变现净值；需要经过加工的材料存货，在正常生产经营过程中，以所生产的产成品的估计售价减去至完工时估计将要发生的成本、估计的销售费用和相关税费后的金额，确定其可变现净值；为执行销售合同或者劳务合同而持有的存货，其可变现净值以合同价格为基础计算，若持有存货的数量多于销售合同订购数量的，超出部分的存货的可变现净值以一般销售价格为基础计算。</w:t>
      </w:r>
    </w:p>
    <w:p w14:paraId="757BDB0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期末按照单个存货项目计提存货跌价准备；但对于数量繁多、单价较低的存货，按照存货类别计提存货跌价准备；与在同一地区生产和销售的产品系列相关、具有相同或类似最终用途或目的，且难以与其他项目分开计量的存货，则合并计提存货跌价准备。</w:t>
      </w:r>
    </w:p>
    <w:p w14:paraId="7719E44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以前减记存货价值的影响因素已经消失的，减记的金额予以恢复，并在原已计提的存货跌价准备金额内转回，转回的金额计入当期损益。</w:t>
      </w:r>
    </w:p>
    <w:p w14:paraId="2E345A90">
      <w:pPr>
        <w:keepNext/>
        <w:keepLines/>
        <w:spacing w:before="300" w:after="300" w:line="280" w:lineRule="exact"/>
        <w:jc w:val="left"/>
        <w:outlineLvl w:val="2"/>
        <w:rPr>
          <w:rFonts w:ascii="宋体" w:hAnsi="宋体" w:eastAsia="宋体" w:cs="宋体"/>
          <w:b/>
          <w:bCs/>
          <w:color w:val="auto"/>
          <w:sz w:val="21"/>
          <w:szCs w:val="21"/>
        </w:rPr>
      </w:pPr>
      <w:bookmarkStart w:id="33" w:name="_Toc989009"/>
      <w:r>
        <w:rPr>
          <w:rFonts w:ascii="宋体" w:hAnsi="宋体" w:eastAsia="宋体" w:cs="宋体"/>
          <w:b/>
          <w:bCs/>
          <w:color w:val="auto"/>
          <w:sz w:val="21"/>
          <w:szCs w:val="21"/>
        </w:rPr>
        <w:t>18、持有待售资产</w:t>
      </w:r>
      <w:bookmarkEnd w:id="33"/>
    </w:p>
    <w:p w14:paraId="17C89884">
      <w:pPr>
        <w:keepNext/>
        <w:keepLines/>
        <w:spacing w:before="300" w:after="300" w:line="280" w:lineRule="exact"/>
        <w:jc w:val="left"/>
        <w:outlineLvl w:val="2"/>
        <w:rPr>
          <w:rFonts w:ascii="宋体" w:hAnsi="宋体" w:eastAsia="宋体" w:cs="宋体"/>
          <w:b/>
          <w:bCs/>
          <w:color w:val="auto"/>
          <w:sz w:val="21"/>
          <w:szCs w:val="21"/>
        </w:rPr>
      </w:pPr>
      <w:bookmarkStart w:id="34" w:name="_Toc989010"/>
      <w:r>
        <w:rPr>
          <w:rFonts w:ascii="宋体" w:hAnsi="宋体" w:eastAsia="宋体" w:cs="宋体"/>
          <w:b/>
          <w:bCs/>
          <w:color w:val="auto"/>
          <w:sz w:val="21"/>
          <w:szCs w:val="21"/>
        </w:rPr>
        <w:t>19、债权投资</w:t>
      </w:r>
      <w:bookmarkEnd w:id="34"/>
    </w:p>
    <w:p w14:paraId="02E8E594">
      <w:pPr>
        <w:pStyle w:val="4"/>
        <w:keepNext w:val="0"/>
        <w:keepLines w:val="0"/>
        <w:widowControl/>
        <w:suppressLineNumbers w:val="0"/>
        <w:spacing w:before="0"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本公司对债权投资的预期信用损失的确定方法及会计处理方法详见本附注（十二）</w:t>
      </w:r>
      <w:r>
        <w:rPr>
          <w:rFonts w:hint="default" w:ascii="Times New Roman" w:hAnsi="Times New Roman" w:eastAsia="宋体" w:cs="Times New Roman"/>
          <w:color w:val="auto"/>
          <w:sz w:val="21"/>
          <w:szCs w:val="21"/>
        </w:rPr>
        <w:t>6.</w:t>
      </w:r>
      <w:r>
        <w:rPr>
          <w:rFonts w:hint="eastAsia" w:ascii="宋体" w:hAnsi="宋体" w:eastAsia="宋体" w:cs="宋体"/>
          <w:color w:val="auto"/>
          <w:sz w:val="21"/>
          <w:szCs w:val="21"/>
        </w:rPr>
        <w:t>金融工具减值。</w:t>
      </w:r>
    </w:p>
    <w:p w14:paraId="797415D0">
      <w:pPr>
        <w:keepNext/>
        <w:keepLines/>
        <w:spacing w:before="300" w:after="300" w:line="280" w:lineRule="exact"/>
        <w:jc w:val="left"/>
        <w:outlineLvl w:val="2"/>
        <w:rPr>
          <w:rFonts w:ascii="宋体" w:hAnsi="宋体" w:eastAsia="宋体" w:cs="宋体"/>
          <w:b/>
          <w:bCs/>
          <w:color w:val="auto"/>
          <w:sz w:val="21"/>
          <w:szCs w:val="21"/>
        </w:rPr>
      </w:pPr>
      <w:bookmarkStart w:id="35" w:name="_Toc989011"/>
      <w:r>
        <w:rPr>
          <w:rFonts w:ascii="宋体" w:hAnsi="宋体" w:eastAsia="宋体" w:cs="宋体"/>
          <w:b/>
          <w:bCs/>
          <w:color w:val="auto"/>
          <w:sz w:val="21"/>
          <w:szCs w:val="21"/>
        </w:rPr>
        <w:t>20、其他债权投资</w:t>
      </w:r>
      <w:bookmarkEnd w:id="35"/>
    </w:p>
    <w:p w14:paraId="1145C66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本公司对其他债权投资的预期信用损失的确定方法及会计处理方法详见本附注（十二）金融工具减值。</w:t>
      </w:r>
    </w:p>
    <w:p w14:paraId="3CFD51D0">
      <w:pPr>
        <w:keepNext/>
        <w:keepLines/>
        <w:spacing w:before="300" w:after="300" w:line="280" w:lineRule="exact"/>
        <w:jc w:val="left"/>
        <w:outlineLvl w:val="2"/>
        <w:rPr>
          <w:rFonts w:ascii="宋体" w:hAnsi="宋体" w:eastAsia="宋体" w:cs="宋体"/>
          <w:b/>
          <w:bCs/>
          <w:color w:val="auto"/>
          <w:sz w:val="21"/>
          <w:szCs w:val="21"/>
        </w:rPr>
      </w:pPr>
      <w:bookmarkStart w:id="36" w:name="_Toc989012"/>
      <w:r>
        <w:rPr>
          <w:rFonts w:ascii="宋体" w:hAnsi="宋体" w:eastAsia="宋体" w:cs="宋体"/>
          <w:b/>
          <w:bCs/>
          <w:color w:val="auto"/>
          <w:sz w:val="21"/>
          <w:szCs w:val="21"/>
        </w:rPr>
        <w:t>21、长期应收款</w:t>
      </w:r>
      <w:bookmarkEnd w:id="36"/>
    </w:p>
    <w:p w14:paraId="11207E3C">
      <w:pPr>
        <w:keepNext/>
        <w:keepLines/>
        <w:spacing w:before="300" w:after="300" w:line="280" w:lineRule="exact"/>
        <w:jc w:val="left"/>
        <w:outlineLvl w:val="2"/>
        <w:rPr>
          <w:rFonts w:ascii="宋体" w:hAnsi="宋体" w:eastAsia="宋体" w:cs="宋体"/>
          <w:b/>
          <w:bCs/>
          <w:color w:val="auto"/>
          <w:sz w:val="21"/>
          <w:szCs w:val="21"/>
        </w:rPr>
      </w:pPr>
      <w:bookmarkStart w:id="37" w:name="_Toc989013"/>
      <w:r>
        <w:rPr>
          <w:rFonts w:ascii="宋体" w:hAnsi="宋体" w:eastAsia="宋体" w:cs="宋体"/>
          <w:b/>
          <w:bCs/>
          <w:color w:val="auto"/>
          <w:sz w:val="21"/>
          <w:szCs w:val="21"/>
        </w:rPr>
        <w:t>22、长期股权投资</w:t>
      </w:r>
      <w:bookmarkEnd w:id="37"/>
    </w:p>
    <w:p w14:paraId="6EA9716C">
      <w:pPr>
        <w:pStyle w:val="4"/>
        <w:keepNext w:val="0"/>
        <w:keepLines w:val="0"/>
        <w:widowControl/>
        <w:suppressLineNumbers w:val="0"/>
        <w:spacing w:before="100" w:beforeAutospacing="0" w:after="100" w:afterAutospacing="0" w:line="360" w:lineRule="auto"/>
        <w:ind w:left="0" w:right="0" w:firstLine="422"/>
        <w:jc w:val="both"/>
        <w:rPr>
          <w:rFonts w:hint="default" w:ascii="Times New Roman" w:hAnsi="Times New Roman" w:cs="Times New Roman"/>
          <w:color w:val="auto"/>
          <w:sz w:val="24"/>
          <w:szCs w:val="24"/>
        </w:rPr>
      </w:pPr>
      <w:r>
        <w:rPr>
          <w:rFonts w:hint="eastAsia" w:ascii="宋体" w:hAnsi="宋体" w:eastAsia="宋体" w:cs="宋体"/>
          <w:b/>
          <w:bCs/>
          <w:color w:val="auto"/>
          <w:sz w:val="21"/>
          <w:szCs w:val="21"/>
        </w:rPr>
        <w:t>1．初始投资成本的确定</w:t>
      </w:r>
    </w:p>
    <w:p w14:paraId="5E45169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（1）企业合并形成的长期股权投资，具体会计政策详见本附注（七）同一控制下和非同一控制下企业合并的会计处理方法。</w:t>
      </w:r>
    </w:p>
    <w:p w14:paraId="73B0280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（2）其他方式取得的长期股权投资</w:t>
      </w:r>
    </w:p>
    <w:p w14:paraId="19E1CA1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以支付现金方式取得的长期股权投资，按照实际支付的购买价款作为初始投资成本。初始投资成本包括与取得长期股权投资直接相关的费用、税金及其他必要支出。</w:t>
      </w:r>
    </w:p>
    <w:p w14:paraId="0D425AB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以发行权益性证券取得的长期股权投资，按照发行权益性证券的公允价值作为初始投资成本；发行或取得自身权益工具时发生的交易费用，可直接归属于权益性交易的从权益中扣减。</w:t>
      </w:r>
    </w:p>
    <w:p w14:paraId="0D34AE1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非货币性资产交换具备商业实质和换入资产或换出资产的公允价值能够可靠计量的前提下，非货币性资产交换换入的长期股权投资以换出资产的公允价值为基础确定其初始投资成本，除非有确凿证据表明换入资产的公允价值更加可靠；不满足上述前提的非货币性资产交换，以换出资产的账面价值和应支付的相关税费作为换入长期股权投资的初始投资成本。</w:t>
      </w:r>
    </w:p>
    <w:p w14:paraId="6EE3537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通过债务重组取得的长期股权投资，其初始投资成本按照公允价值为基础确定。</w:t>
      </w:r>
    </w:p>
    <w:p w14:paraId="15D89E13">
      <w:pPr>
        <w:pStyle w:val="4"/>
        <w:keepNext w:val="0"/>
        <w:keepLines w:val="0"/>
        <w:widowControl/>
        <w:suppressLineNumbers w:val="0"/>
        <w:spacing w:before="100" w:beforeAutospacing="0" w:after="100" w:afterAutospacing="0" w:line="360" w:lineRule="auto"/>
        <w:ind w:left="0" w:right="0" w:firstLine="422"/>
        <w:jc w:val="both"/>
        <w:rPr>
          <w:rFonts w:hint="default" w:ascii="Times New Roman" w:hAnsi="Times New Roman" w:cs="Times New Roman"/>
          <w:color w:val="auto"/>
          <w:sz w:val="24"/>
          <w:szCs w:val="24"/>
        </w:rPr>
      </w:pPr>
      <w:r>
        <w:rPr>
          <w:rFonts w:hint="eastAsia" w:ascii="宋体" w:hAnsi="宋体" w:eastAsia="宋体" w:cs="宋体"/>
          <w:b/>
          <w:bCs/>
          <w:color w:val="auto"/>
          <w:sz w:val="21"/>
          <w:szCs w:val="21"/>
        </w:rPr>
        <w:t>2.后续计量及损益确认</w:t>
      </w:r>
    </w:p>
    <w:p w14:paraId="65FDA8C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（1）成本法</w:t>
      </w:r>
    </w:p>
    <w:p w14:paraId="47339FD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本公司能够对被投资单位实施控制的长期股权投资采用成本法核算，并按照初始投资成本计价，追加或收回投资调整长期股权投资的成本。</w:t>
      </w:r>
    </w:p>
    <w:p w14:paraId="7B15AD3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除取得投资时实际支付的价款或对价中包含的已宣告但尚未发放的现金股利或利润外，本公司按照享有被投资单位宣告分派的现金股利或利润确认为当期投资收益。</w:t>
      </w:r>
    </w:p>
    <w:p w14:paraId="2F6546C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（2）权益法</w:t>
      </w:r>
    </w:p>
    <w:p w14:paraId="34FBAA4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联营企业和合营企业的长期股权投资采用权益法核算；对于其中一部分通过风险投资机构、共同基金、信托公司或包括投连险基金在内的类似主体间接持有的联营企业的权益性投资，采用公允价值计量且其变动计入损益。</w:t>
      </w:r>
    </w:p>
    <w:p w14:paraId="4800717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长期股权投资的初始投资成本大于投资时应享有被投资单位可辨认净资产公允价值份额的差额，不调整长期股权投资的初始投资成本；初始投资成本小于投资时应享有被投资单位可辨认净资产公允价值份额的差额，计入当期损益。</w:t>
      </w:r>
    </w:p>
    <w:p w14:paraId="2EA1ED7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取得长期股权投资后，按照应享有或应分担的被投资单位实现的净损益和其他综合收益的份额，分别确认投资收益和其他综合收益，同时调整长期股权投资的账面价值；并按照被投资单位宣告分派的利润或现金股利计算应享有的部分，相应减少长期股权投资的账面价值；对于被投资单位除净损益、其他综合收益和利润分配以外所有者权益的其他变动，调整长期股权投资的账面价值并计入所有者权益。</w:t>
      </w:r>
    </w:p>
    <w:p w14:paraId="11CB5E3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确认应享有被投资单位净损益的份额时，以取得投资时被投资单位各项可辨认资产等的公允价值为基础，对被投资单位的净利润进行调整后确认。本公司与联营企业、合营企业之间发生的未实现内部交易损益按照应享有的比例计算归属于本公司的部分予以抵销，在此基础上确认投资损益。</w:t>
      </w:r>
    </w:p>
    <w:p w14:paraId="594B701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确认应分担被投资单位发生的亏损时，按照以下顺序进行处理：首先，冲减长期股权投资的账面价值。其次，长期股权投资的账面价值不足以冲减的，以其他实质上构成对被投资单位净投资的长期权益账面价值为限继续确认投资损失，冲减长期应收项目等的账面价值。最后，经过上述处理，按照投资合同或协议约定企业仍承担额外义务的，按预计承担的义务确认预计负债，计入当期投资损失。</w:t>
      </w:r>
    </w:p>
    <w:p w14:paraId="557373E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被投资单位以后期间实现盈利的，公司在扣除未确认的亏损分担额后，按与上述相反的顺序处理，减记已确认预计负债的账面余额、恢复其他实质上构成对被投资单位净投资的长期权益及长期股权投资的账面价值后，恢复确认投资收益。</w:t>
      </w:r>
    </w:p>
    <w:p w14:paraId="360D9331">
      <w:pPr>
        <w:pStyle w:val="4"/>
        <w:keepNext w:val="0"/>
        <w:keepLines w:val="0"/>
        <w:widowControl/>
        <w:suppressLineNumbers w:val="0"/>
        <w:spacing w:before="100" w:beforeAutospacing="0" w:after="100" w:afterAutospacing="0" w:line="360" w:lineRule="auto"/>
        <w:ind w:left="0" w:right="0" w:firstLine="422"/>
        <w:jc w:val="both"/>
        <w:rPr>
          <w:rFonts w:hint="default" w:ascii="Times New Roman" w:hAnsi="Times New Roman" w:cs="Times New Roman"/>
          <w:color w:val="auto"/>
          <w:sz w:val="24"/>
          <w:szCs w:val="24"/>
        </w:rPr>
      </w:pPr>
      <w:r>
        <w:rPr>
          <w:rFonts w:hint="eastAsia" w:ascii="宋体" w:hAnsi="宋体" w:eastAsia="宋体" w:cs="宋体"/>
          <w:b/>
          <w:bCs/>
          <w:color w:val="auto"/>
          <w:sz w:val="21"/>
          <w:szCs w:val="21"/>
        </w:rPr>
        <w:t>3.长期股权投资核算方法的转换</w:t>
      </w:r>
    </w:p>
    <w:p w14:paraId="34DC3CD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（1）公允价值计量转权益法核算</w:t>
      </w:r>
    </w:p>
    <w:p w14:paraId="14AAE96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原持有的对被投资单位不具有控制、共同控制或重大影响的按金融工具确认和计量准则进行会计处理的权益性投资，因追加投资等原因能够对被投资单位施加重大影响或实施共同控制但不构成控制的，按照《企业会计准则第22号——金融工具确认和计量》确定的原持有的股权投资的公允价值加上新增投资成本之和，作为改按权益法核算的初始投资成本。</w:t>
      </w:r>
    </w:p>
    <w:p w14:paraId="3D5A949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按权益法核算的初始投资成本小于按照追加投资后全新的持股比例计算确定的应享有被投资单位在追加投资日可辨认净资产公允价值份额之间的差额，调整长期股权投资的账面价值，并计入当期营业外收入。</w:t>
      </w:r>
    </w:p>
    <w:p w14:paraId="73B22D4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（2）公允价值计量或权益法核算转成本法核算</w:t>
      </w:r>
    </w:p>
    <w:p w14:paraId="056BA1F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原持有的对被投资单位不具有控制、共同控制或重大影响的按金融工具确认和计量准则进行会计处理的权益性投资，或原持有对联营企业、合营企业的长期股权投资，因追加投资等原因能够对非同一控制下的被投资单位实施控制的，在编制个别财务报表时，按照原持有的股权投资账面价值加上新增投资成本之和，作为改按成本法核算的初始投资成本。</w:t>
      </w:r>
    </w:p>
    <w:p w14:paraId="3E45DC2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购买日之前持有的股权投资因采用权益法核算而确认的其他综合收益，在处置该项投资时采用与被投资单位直接处置相关资产或负债相同的基础进行会计处理。</w:t>
      </w:r>
    </w:p>
    <w:p w14:paraId="0C09169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购买日之前持有的股权投资按照《企业会计准则第22号——金融工具确认和计量》的有关规定进行会计处理的，原计入其他综合收益的累计公允价值变动在改按成本法核算时转入当期损益。</w:t>
      </w:r>
    </w:p>
    <w:p w14:paraId="1DFEE35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（3）权益法核算转公允价值计量</w:t>
      </w:r>
    </w:p>
    <w:p w14:paraId="7D5D9DA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因处置部分股权投资等原因丧失了对被投资单位的共同控制或重大影响的，处置后的剩余股权改按《企业会计准则第22号——金融工具确认和计量》核算，其在丧失共同控制或重大影响之日的公允价值与账面价值之间的差额计入当期损益。</w:t>
      </w:r>
    </w:p>
    <w:p w14:paraId="0BF0996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原股权投资因采用权益法核算而确认的其他综合收益，在终止采用权益法核算时采用与被投资单位直接处置相关资产或负债相同的基础进行会计处理。</w:t>
      </w:r>
    </w:p>
    <w:p w14:paraId="70840A6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（4）成本法转权益法</w:t>
      </w:r>
    </w:p>
    <w:p w14:paraId="2E765A7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因处置部分权益性投资等原因丧失了对被投资单位的控制的，在编制个别财务报表时，处置后的剩余股权能够对被投资单位实施共同控制或施加重大影响的，改按权益法核算，并对该剩余股权视同自取得时即采用权益法核算进行调整。</w:t>
      </w:r>
    </w:p>
    <w:p w14:paraId="5533C28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（5）成本法转公允价值计量</w:t>
      </w:r>
    </w:p>
    <w:p w14:paraId="60DAC99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因处置部分权益性投资等原因丧失了对被投资单位的控制的，在编制个别财务报表时，处置后的剩余股权不能对被投资单位实施共同控制或施加重大影响的，改按《企业会计准则第22号——金融工具确认和计量》的有关规定进行会计处理，其在丧失控制之日的公允价值与账面价值间的差额计入当期损益。</w:t>
      </w:r>
    </w:p>
    <w:p w14:paraId="3BC178E9">
      <w:pPr>
        <w:pStyle w:val="4"/>
        <w:keepNext w:val="0"/>
        <w:keepLines w:val="0"/>
        <w:widowControl/>
        <w:suppressLineNumbers w:val="0"/>
        <w:spacing w:before="100" w:beforeAutospacing="0" w:after="100" w:afterAutospacing="0" w:line="360" w:lineRule="auto"/>
        <w:ind w:left="0" w:right="0" w:firstLine="422"/>
        <w:jc w:val="both"/>
        <w:rPr>
          <w:rFonts w:hint="default" w:ascii="Times New Roman" w:hAnsi="Times New Roman" w:cs="Times New Roman"/>
          <w:color w:val="auto"/>
          <w:sz w:val="24"/>
          <w:szCs w:val="24"/>
        </w:rPr>
      </w:pPr>
      <w:r>
        <w:rPr>
          <w:rFonts w:hint="eastAsia" w:ascii="宋体" w:hAnsi="宋体" w:eastAsia="宋体" w:cs="宋体"/>
          <w:b/>
          <w:bCs/>
          <w:color w:val="auto"/>
          <w:sz w:val="21"/>
          <w:szCs w:val="21"/>
        </w:rPr>
        <w:t>4.长期股权投资的处置</w:t>
      </w:r>
    </w:p>
    <w:p w14:paraId="47A2D8F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处置长期股权投资，其账面价值与实际取得价款之间的差额，应当计入当期损益。采用权益法核算的长期股权投资，在处置该项投资时，采用与被投资单位直接处置相关资产或负债相同的基础，按相应比例对原计入其他综合收益的部分进行会计处理。</w:t>
      </w:r>
    </w:p>
    <w:p w14:paraId="7817257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处置对子公司股权投资的各项交易的条款、条件以及经济影响符合以下一种或多种情况，将多次交易事项作为一揽子交易进行会计处理：</w:t>
      </w:r>
    </w:p>
    <w:p w14:paraId="7D5E713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（1）这些交易是同时或者在考虑了彼此影响的情况下订立的；</w:t>
      </w:r>
    </w:p>
    <w:p w14:paraId="64ED989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（2）这些交易整体才能达成一项完整的商业结果；</w:t>
      </w:r>
    </w:p>
    <w:p w14:paraId="1993B58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（3）一项交易的发生取决于其他至少一项交易的发生；</w:t>
      </w:r>
    </w:p>
    <w:p w14:paraId="303FE8B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（4）一项交易单独看是不经济的，但是和其他交易一并考虑时是经济的。</w:t>
      </w:r>
    </w:p>
    <w:p w14:paraId="7A8841B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因处置部分股权投资或其他原因丧失了对原有子公司控制权的，不属于一揽子交易的，区分个别财务报表和合并财务报表进行相关会计处理：</w:t>
      </w:r>
    </w:p>
    <w:p w14:paraId="5498533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在个别财务报表中，对于处置的股权，其账面价值与实际取得价款之间的差额计入当期损益。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企业会计准则第22号——金融工具确认和计量》的有关规定进行会计处理，其在丧失控制之日的公允价值与账面价值间的差额计入当期损益。</w:t>
      </w:r>
    </w:p>
    <w:p w14:paraId="4699EE2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在合并财务报表中，对于在丧失对子公司控制权以前的各项交易，处置价款与处置长期股权投资相应对享有子公司自购买日或合并日开始持续计算的净资产份额之间的差额，调整资本公积（股本溢价），资本公积不足冲减的，调整留存收益；在丧失对子公司控制权时，对于剩余股权，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同时冲减商誉。与原有子公司股权投资相关的其他综合收益等，在丧失控制权时转为当期投资收益。</w:t>
      </w:r>
    </w:p>
    <w:p w14:paraId="3FE56E5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处置对子公司股权投资直至丧失控制权的各项交易属于一揽子交易的，将各项交易作为一项处置子公司股权投资并丧失控制权的交易进行会计处理，区分个别财务报表和合并财务报表进行相关会计处理：</w:t>
      </w:r>
    </w:p>
    <w:p w14:paraId="1825507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在个别财务报表中，在丧失控制权之前每一次处置价款与处置的股权对应的长期股权投资账面价值之间的差额，确认为其他综合收益，在丧失控制权时一并转入丧失控制权当期的损益。</w:t>
      </w:r>
    </w:p>
    <w:p w14:paraId="115212B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在合并财务报表中，在丧失控制权之前每一次处置价款与处置投资对应的享有该子公司净资产份额的差额，确认为其他综合收益，在丧失控制权时一并转入丧失控制权当期的损益。</w:t>
      </w:r>
    </w:p>
    <w:p w14:paraId="0B3A3AF0">
      <w:pPr>
        <w:pStyle w:val="4"/>
        <w:keepNext w:val="0"/>
        <w:keepLines w:val="0"/>
        <w:widowControl/>
        <w:suppressLineNumbers w:val="0"/>
        <w:spacing w:before="100" w:beforeAutospacing="0" w:after="100" w:afterAutospacing="0" w:line="360" w:lineRule="auto"/>
        <w:ind w:left="0" w:right="0" w:firstLine="422"/>
        <w:jc w:val="both"/>
        <w:rPr>
          <w:rFonts w:hint="default" w:ascii="Times New Roman" w:hAnsi="Times New Roman" w:cs="Times New Roman"/>
          <w:color w:val="auto"/>
          <w:sz w:val="24"/>
          <w:szCs w:val="24"/>
        </w:rPr>
      </w:pPr>
      <w:r>
        <w:rPr>
          <w:rFonts w:hint="eastAsia" w:ascii="宋体" w:hAnsi="宋体" w:eastAsia="宋体" w:cs="宋体"/>
          <w:b/>
          <w:bCs/>
          <w:color w:val="auto"/>
          <w:sz w:val="21"/>
          <w:szCs w:val="21"/>
        </w:rPr>
        <w:t>5.共同控制、重大影响的判断标准</w:t>
      </w:r>
    </w:p>
    <w:p w14:paraId="5C43FF0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如果本公司按照相关约定与其他参与方集体控制某项安排，并且对该安排回报具有重大影响的活动决策，需要经过分享控制权的参与方一致同意时才存在，则视为本公司与其他参与方共同控制某项安排，该安排即属于合营安排。</w:t>
      </w:r>
    </w:p>
    <w:p w14:paraId="3017696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合营安排通过单独主体达成的，根据相关约定判断本公司对该单独主体的净资产享有权利时，将该单独主体作为合营企业，采用权益法核算。若根据相关约定判断本公司并非对该单独主体的净资产享有权利时，该单独主体作为共同经营，本公司确认与共同经营利益份额相关的项目，并按照相关企业会计准则的规定进行会计处理。</w:t>
      </w:r>
    </w:p>
    <w:p w14:paraId="71672EA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重大影响，是指投资方对被投资单位的财务和经营政策有参与决策的权力，但并不能够控制或者与其他方一起共同控制这些政策的制定。本公司通过以下一种或多种情形，并综合考虑所有事实和情况后，判断对被投资单位具有重大影响：（1）在被投资单位的董事会或类似权力机构中派有代表；（2）参与被投资单位财务和经营政策制定过程；（3）与被投资单位之间发生重要交易；（4）向被投资单位派出管理人员；（5）向被投资单位提供关键技术资料。</w:t>
      </w:r>
    </w:p>
    <w:p w14:paraId="7B74B869">
      <w:pPr>
        <w:keepNext/>
        <w:keepLines/>
        <w:spacing w:before="300" w:after="300" w:line="280" w:lineRule="exact"/>
        <w:jc w:val="left"/>
        <w:outlineLvl w:val="2"/>
        <w:rPr>
          <w:rFonts w:ascii="宋体" w:hAnsi="宋体" w:eastAsia="宋体" w:cs="宋体"/>
          <w:b/>
          <w:bCs/>
          <w:color w:val="auto"/>
          <w:sz w:val="21"/>
          <w:szCs w:val="21"/>
        </w:rPr>
      </w:pPr>
      <w:bookmarkStart w:id="38" w:name="_Toc989014"/>
      <w:r>
        <w:rPr>
          <w:rFonts w:ascii="宋体" w:hAnsi="宋体" w:eastAsia="宋体" w:cs="宋体"/>
          <w:b/>
          <w:bCs/>
          <w:color w:val="auto"/>
          <w:sz w:val="21"/>
          <w:szCs w:val="21"/>
        </w:rPr>
        <w:t>23、投资性房地产</w:t>
      </w:r>
      <w:bookmarkEnd w:id="38"/>
    </w:p>
    <w:p w14:paraId="6862966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投资性房地产计量模式</w:t>
      </w:r>
    </w:p>
    <w:p w14:paraId="726162E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不适用</w:t>
      </w:r>
    </w:p>
    <w:p w14:paraId="089B2E1B">
      <w:pPr>
        <w:keepNext/>
        <w:keepLines/>
        <w:spacing w:before="300" w:after="300" w:line="280" w:lineRule="exact"/>
        <w:jc w:val="left"/>
        <w:outlineLvl w:val="2"/>
        <w:rPr>
          <w:rFonts w:ascii="宋体" w:hAnsi="宋体" w:eastAsia="宋体" w:cs="宋体"/>
          <w:b/>
          <w:bCs/>
          <w:color w:val="auto"/>
          <w:sz w:val="21"/>
          <w:szCs w:val="21"/>
        </w:rPr>
      </w:pPr>
      <w:bookmarkStart w:id="39" w:name="_Toc989015"/>
      <w:r>
        <w:rPr>
          <w:rFonts w:ascii="宋体" w:hAnsi="宋体" w:eastAsia="宋体" w:cs="宋体"/>
          <w:b/>
          <w:bCs/>
          <w:color w:val="auto"/>
          <w:sz w:val="21"/>
          <w:szCs w:val="21"/>
        </w:rPr>
        <w:t>24、固定资产</w:t>
      </w:r>
      <w:bookmarkEnd w:id="39"/>
    </w:p>
    <w:p w14:paraId="32562B25">
      <w:pPr>
        <w:keepNext/>
        <w:keepLines/>
        <w:spacing w:before="300" w:after="300" w:line="280" w:lineRule="exact"/>
        <w:jc w:val="left"/>
        <w:outlineLvl w:val="3"/>
        <w:rPr>
          <w:rFonts w:ascii="宋体" w:hAnsi="宋体" w:eastAsia="宋体" w:cs="宋体"/>
          <w:b/>
          <w:bCs/>
          <w:color w:val="auto"/>
          <w:sz w:val="21"/>
          <w:szCs w:val="21"/>
        </w:rPr>
      </w:pPr>
      <w:bookmarkStart w:id="40" w:name="_Toc989016"/>
      <w:r>
        <w:rPr>
          <w:rFonts w:ascii="宋体" w:hAnsi="宋体" w:eastAsia="宋体" w:cs="宋体"/>
          <w:b/>
          <w:bCs/>
          <w:color w:val="auto"/>
          <w:sz w:val="21"/>
          <w:szCs w:val="21"/>
        </w:rPr>
        <w:t>（1）确认条件</w:t>
      </w:r>
      <w:bookmarkEnd w:id="40"/>
    </w:p>
    <w:p w14:paraId="78D669C2">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1.固定资产确认条件</w:t>
      </w:r>
    </w:p>
    <w:p w14:paraId="41538D21">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固定资产指为生产商品、提供劳务、出租或经营管理而持有，并且使用寿命超过一个会计年度的有形资产。固定资产在同时满足下列条件时予以确认：</w:t>
      </w:r>
    </w:p>
    <w:p w14:paraId="7FDBA767">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（1）与该固定资产有关的经济利益很可能流入企业；</w:t>
      </w:r>
    </w:p>
    <w:p w14:paraId="7CBD5353">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（2）该固定资产的成本能够可靠地计量。</w:t>
      </w:r>
    </w:p>
    <w:p w14:paraId="3BFDE80D">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2.固定资产初始计量</w:t>
      </w:r>
    </w:p>
    <w:p w14:paraId="2283B3B0">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本公司固定资产按成本进行初始计量。</w:t>
      </w:r>
    </w:p>
    <w:p w14:paraId="01E73A1B">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（1）外购的固定资产的成本包括买价、进口关税等相关税费，以及为使固定资产达到预定可使用状态前所发生的可直接归属于该资产的其他支出。</w:t>
      </w:r>
    </w:p>
    <w:p w14:paraId="0EAB2728">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（2）自行建造固定资产的成本，由建造该项资产达到预定可使用状态前所发生的必要支出构成。</w:t>
      </w:r>
    </w:p>
    <w:p w14:paraId="7B44B8B7">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（3）投资者投入的固定资产，按投资合同或协议约定的价值作为入账价值，但合同或协议约定价值不公允的按公允价值入账。</w:t>
      </w:r>
    </w:p>
    <w:p w14:paraId="68CBD2E2">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4）购买固定资产的价款超过正常信用条件延期支付，实质上具有融资性质的，固定资产的成本以购买价款的现值为基础确定。实际支付的价款与购买价款的现值之间的差额，除应予资本化的以外，在信用期间内计入当期损益。</w:t>
      </w:r>
    </w:p>
    <w:p w14:paraId="13FD4847">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1.固定资产后续计量及处置</w:t>
      </w:r>
    </w:p>
    <w:p w14:paraId="6D1D1099">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（1）固定资产折旧</w:t>
      </w:r>
    </w:p>
    <w:p w14:paraId="39EE00FA">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固定资产折旧按其入账价值减去预计净残值后在预计使用寿命内计提。对计提了减值准备的固定资产，则在未来期间按扣除减值准备后的账面价值及依据尚可使用年限确定折旧额；已提足折旧仍继续使用的固定资产不计提折旧。</w:t>
      </w:r>
    </w:p>
    <w:p w14:paraId="6C12DAC8">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本公司根据固定资产的性质和使用情况，确定固定资产的使用寿命和预计净残值。并在年度终了，对固定资产的使用寿命、预计净残值和折旧方法进行复核，如与原先估计数存在差异的，进行相应的调整。</w:t>
      </w:r>
    </w:p>
    <w:p w14:paraId="5A99B5CA">
      <w:pPr>
        <w:pStyle w:val="4"/>
        <w:keepNext w:val="0"/>
        <w:keepLines w:val="0"/>
        <w:widowControl/>
        <w:suppressLineNumbers w:val="0"/>
        <w:spacing w:line="240" w:lineRule="atLeast"/>
        <w:rPr>
          <w:rFonts w:hint="eastAsia" w:ascii="宋体" w:hAnsi="宋体" w:eastAsia="宋体" w:cs="宋体"/>
          <w:color w:val="auto"/>
          <w:sz w:val="18"/>
          <w:szCs w:val="18"/>
        </w:rPr>
      </w:pPr>
      <w:r>
        <w:rPr>
          <w:rFonts w:hint="eastAsia" w:ascii="宋体" w:hAnsi="宋体" w:eastAsia="宋体" w:cs="宋体"/>
          <w:color w:val="auto"/>
          <w:sz w:val="18"/>
          <w:szCs w:val="18"/>
        </w:rPr>
        <w:t>各类固定资产的折旧方法、折旧年限和年折旧率如下：</w:t>
      </w:r>
    </w:p>
    <w:p w14:paraId="38415296">
      <w:pPr>
        <w:keepNext/>
        <w:keepLines/>
        <w:spacing w:before="300" w:after="300" w:line="280" w:lineRule="exact"/>
        <w:jc w:val="left"/>
        <w:outlineLvl w:val="3"/>
        <w:rPr>
          <w:rFonts w:ascii="宋体" w:hAnsi="宋体" w:eastAsia="宋体" w:cs="宋体"/>
          <w:b/>
          <w:bCs/>
          <w:color w:val="auto"/>
          <w:sz w:val="21"/>
          <w:szCs w:val="21"/>
        </w:rPr>
      </w:pPr>
      <w:bookmarkStart w:id="41" w:name="_Toc989017"/>
      <w:r>
        <w:rPr>
          <w:rFonts w:ascii="宋体" w:hAnsi="宋体" w:eastAsia="宋体" w:cs="宋体"/>
          <w:b/>
          <w:bCs/>
          <w:color w:val="auto"/>
          <w:sz w:val="21"/>
          <w:szCs w:val="21"/>
        </w:rPr>
        <w:t>（2）折旧方法</w:t>
      </w:r>
      <w:bookmarkEnd w:id="41"/>
    </w:p>
    <w:p w14:paraId="7ACA3EAE">
      <w:pPr>
        <w:spacing w:before="0" w:after="0" w:line="0" w:lineRule="exact"/>
        <w:jc w:val="left"/>
        <w:rPr>
          <w:color w:val="auto"/>
        </w:rPr>
      </w:pP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8E957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470A2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95F57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折旧方法</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1185B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折旧年限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D6DD98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残值率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5795A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年折旧率</w:t>
            </w:r>
          </w:p>
        </w:tc>
      </w:tr>
      <w:tr w14:paraId="4BC714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569CCF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房屋及建筑物</w:t>
            </w:r>
          </w:p>
        </w:tc>
        <w:tc>
          <w:tcPr>
            <w:tcW w:w="1928" w:type="dxa"/>
            <w:tcBorders>
              <w:top w:val="single" w:color="auto" w:sz="2" w:space="0"/>
              <w:left w:val="single" w:color="auto" w:sz="2" w:space="0"/>
              <w:bottom w:val="single" w:color="auto" w:sz="2" w:space="0"/>
              <w:right w:val="single" w:color="auto" w:sz="2" w:space="0"/>
            </w:tcBorders>
            <w:vAlign w:val="center"/>
          </w:tcPr>
          <w:p w14:paraId="6166178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2BCA551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20年</w:t>
            </w:r>
          </w:p>
        </w:tc>
        <w:tc>
          <w:tcPr>
            <w:tcW w:w="1928" w:type="dxa"/>
            <w:tcBorders>
              <w:top w:val="single" w:color="auto" w:sz="2" w:space="0"/>
              <w:left w:val="single" w:color="auto" w:sz="2" w:space="0"/>
              <w:bottom w:val="single" w:color="auto" w:sz="2" w:space="0"/>
              <w:right w:val="single" w:color="auto" w:sz="2" w:space="0"/>
            </w:tcBorders>
            <w:vAlign w:val="center"/>
          </w:tcPr>
          <w:p w14:paraId="7ED0EE9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316495A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4.75%</w:t>
            </w:r>
          </w:p>
        </w:tc>
      </w:tr>
      <w:tr w14:paraId="45AD66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8070B2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生产设备</w:t>
            </w:r>
          </w:p>
        </w:tc>
        <w:tc>
          <w:tcPr>
            <w:tcW w:w="1928" w:type="dxa"/>
            <w:tcBorders>
              <w:top w:val="single" w:color="auto" w:sz="2" w:space="0"/>
              <w:left w:val="single" w:color="auto" w:sz="2" w:space="0"/>
              <w:bottom w:val="single" w:color="auto" w:sz="2" w:space="0"/>
              <w:right w:val="single" w:color="auto" w:sz="2" w:space="0"/>
            </w:tcBorders>
            <w:vAlign w:val="center"/>
          </w:tcPr>
          <w:p w14:paraId="1EA62E4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552A2B6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10年</w:t>
            </w:r>
          </w:p>
        </w:tc>
        <w:tc>
          <w:tcPr>
            <w:tcW w:w="1928" w:type="dxa"/>
            <w:tcBorders>
              <w:top w:val="single" w:color="auto" w:sz="2" w:space="0"/>
              <w:left w:val="single" w:color="auto" w:sz="2" w:space="0"/>
              <w:bottom w:val="single" w:color="auto" w:sz="2" w:space="0"/>
              <w:right w:val="single" w:color="auto" w:sz="2" w:space="0"/>
            </w:tcBorders>
            <w:vAlign w:val="center"/>
          </w:tcPr>
          <w:p w14:paraId="1C3A182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6EE6ED3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9.50%</w:t>
            </w:r>
          </w:p>
        </w:tc>
      </w:tr>
      <w:tr w14:paraId="46E667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1C27E17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办公设备</w:t>
            </w:r>
          </w:p>
        </w:tc>
        <w:tc>
          <w:tcPr>
            <w:tcW w:w="1928" w:type="dxa"/>
            <w:tcBorders>
              <w:top w:val="single" w:color="auto" w:sz="2" w:space="0"/>
              <w:left w:val="single" w:color="auto" w:sz="2" w:space="0"/>
              <w:bottom w:val="single" w:color="auto" w:sz="2" w:space="0"/>
              <w:right w:val="single" w:color="auto" w:sz="2" w:space="0"/>
            </w:tcBorders>
            <w:vAlign w:val="center"/>
          </w:tcPr>
          <w:p w14:paraId="357CDAC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0F3C815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w:t>
            </w:r>
          </w:p>
        </w:tc>
        <w:tc>
          <w:tcPr>
            <w:tcW w:w="1928" w:type="dxa"/>
            <w:tcBorders>
              <w:top w:val="single" w:color="auto" w:sz="2" w:space="0"/>
              <w:left w:val="single" w:color="auto" w:sz="2" w:space="0"/>
              <w:bottom w:val="single" w:color="auto" w:sz="2" w:space="0"/>
              <w:right w:val="single" w:color="auto" w:sz="2" w:space="0"/>
            </w:tcBorders>
            <w:vAlign w:val="center"/>
          </w:tcPr>
          <w:p w14:paraId="465C57A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5AE2533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19.00%</w:t>
            </w:r>
          </w:p>
        </w:tc>
      </w:tr>
      <w:tr w14:paraId="4CA65D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98AA2C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运输设备</w:t>
            </w:r>
          </w:p>
        </w:tc>
        <w:tc>
          <w:tcPr>
            <w:tcW w:w="1928" w:type="dxa"/>
            <w:tcBorders>
              <w:top w:val="single" w:color="auto" w:sz="2" w:space="0"/>
              <w:left w:val="single" w:color="auto" w:sz="2" w:space="0"/>
              <w:bottom w:val="single" w:color="auto" w:sz="2" w:space="0"/>
              <w:right w:val="single" w:color="auto" w:sz="2" w:space="0"/>
            </w:tcBorders>
            <w:vAlign w:val="center"/>
          </w:tcPr>
          <w:p w14:paraId="710F415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331E5C3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w:t>
            </w:r>
          </w:p>
        </w:tc>
        <w:tc>
          <w:tcPr>
            <w:tcW w:w="1928" w:type="dxa"/>
            <w:tcBorders>
              <w:top w:val="single" w:color="auto" w:sz="2" w:space="0"/>
              <w:left w:val="single" w:color="auto" w:sz="2" w:space="0"/>
              <w:bottom w:val="single" w:color="auto" w:sz="2" w:space="0"/>
              <w:right w:val="single" w:color="auto" w:sz="2" w:space="0"/>
            </w:tcBorders>
            <w:vAlign w:val="center"/>
          </w:tcPr>
          <w:p w14:paraId="7B8A063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5999F4E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19.00%</w:t>
            </w:r>
          </w:p>
        </w:tc>
      </w:tr>
    </w:tbl>
    <w:p w14:paraId="68579A5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（2）固定资产的后续支出</w:t>
      </w:r>
    </w:p>
    <w:p w14:paraId="34A7E0B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与固定资产有关的后续支出，符合固定资产确认条件的，计入固定资产成本；不符合固定资产确认条件的，在发生时计入当期损益。</w:t>
      </w:r>
    </w:p>
    <w:p w14:paraId="7E880D9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（3）固定资产的减值</w:t>
      </w:r>
    </w:p>
    <w:p w14:paraId="05DDA5A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固定资产的减值测试方法和减值准备计提方法详见本附注（二十六）长期资产减值。</w:t>
      </w:r>
    </w:p>
    <w:p w14:paraId="4DD0AEB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（4）固定资产处置</w:t>
      </w:r>
    </w:p>
    <w:p w14:paraId="70653CF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当固定资产被处置、或者预期通过使用或处置不能产生经济利益时，终止确认该固定资产。固定资产出售、转让、报废或毁损的处置收入扣除其账面价值和相关税费后的金额计入当期损益。</w:t>
      </w:r>
    </w:p>
    <w:p w14:paraId="4E1740DD">
      <w:pPr>
        <w:keepNext/>
        <w:keepLines/>
        <w:spacing w:before="300" w:after="300" w:line="280" w:lineRule="exact"/>
        <w:jc w:val="left"/>
        <w:outlineLvl w:val="2"/>
        <w:rPr>
          <w:rFonts w:ascii="宋体" w:hAnsi="宋体" w:eastAsia="宋体" w:cs="宋体"/>
          <w:b/>
          <w:bCs/>
          <w:color w:val="auto"/>
          <w:sz w:val="21"/>
          <w:szCs w:val="21"/>
        </w:rPr>
      </w:pPr>
      <w:bookmarkStart w:id="42" w:name="_Toc989018"/>
      <w:r>
        <w:rPr>
          <w:rFonts w:ascii="宋体" w:hAnsi="宋体" w:eastAsia="宋体" w:cs="宋体"/>
          <w:b/>
          <w:bCs/>
          <w:color w:val="auto"/>
          <w:sz w:val="21"/>
          <w:szCs w:val="21"/>
        </w:rPr>
        <w:t>25、在建工程</w:t>
      </w:r>
      <w:bookmarkEnd w:id="42"/>
    </w:p>
    <w:p w14:paraId="4D0ED16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自行建造的在建工程按实际成本计价，实际成本由建造该项资产达到预定可使用状态前所发生的必要支出构成，包括工程用物资成本、人工成本、交纳的相关税费、应予资本化的借款费用以及应分摊的间接费用等。</w:t>
      </w:r>
    </w:p>
    <w:p w14:paraId="10FDB95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建工程项目按建造该项资产达到预定可使用状态前所发生的全部支出，作为固定资产的入账价值。所建造的在建工程已达到预定可使用状态，但尚未办理竣工决算的，自达到预定可使用状态之日起，根据工程预算、造价或者工程实际成本等，按估计的价值转入固定资产，并按本公司固定资产折旧政策计提固定资产的折旧，待办理竣工决算后，再按实际成本调整原来的暂估价值，但不调整原已计提的折旧额。</w:t>
      </w:r>
    </w:p>
    <w:p w14:paraId="43CEBF1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在建工程的减值测试方法和减值准备计提方法详见本附注（二十六）长期资产减值。</w:t>
      </w:r>
    </w:p>
    <w:p w14:paraId="5181C5C7">
      <w:pPr>
        <w:keepNext/>
        <w:keepLines/>
        <w:spacing w:before="300" w:after="300" w:line="280" w:lineRule="exact"/>
        <w:jc w:val="left"/>
        <w:outlineLvl w:val="2"/>
        <w:rPr>
          <w:rFonts w:ascii="宋体" w:hAnsi="宋体" w:eastAsia="宋体" w:cs="宋体"/>
          <w:b/>
          <w:bCs/>
          <w:color w:val="auto"/>
          <w:sz w:val="21"/>
          <w:szCs w:val="21"/>
        </w:rPr>
      </w:pPr>
      <w:bookmarkStart w:id="43" w:name="_Toc989019"/>
      <w:r>
        <w:rPr>
          <w:rFonts w:ascii="宋体" w:hAnsi="宋体" w:eastAsia="宋体" w:cs="宋体"/>
          <w:b/>
          <w:bCs/>
          <w:color w:val="auto"/>
          <w:sz w:val="21"/>
          <w:szCs w:val="21"/>
        </w:rPr>
        <w:t>26、借款费用</w:t>
      </w:r>
      <w:bookmarkEnd w:id="43"/>
    </w:p>
    <w:p w14:paraId="708C2E4C">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1.借款费用资本化的确认原则</w:t>
      </w:r>
    </w:p>
    <w:p w14:paraId="2814758D">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3A135EF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本公司发生的借款费用，可直接归属于符合资本化条件的资产的购建或者生产的，予以资本化，计入相关资产成本；其他借款费用，在发生时根据其发生额确认为费用，计入当期损益。</w:t>
      </w:r>
    </w:p>
    <w:p w14:paraId="5A0FED4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符合资本化条件的资产，是指需要经过相当长时间的购建或者生产活动才能达到预定可使用或者可销售状态的固定资产、投资性房地产和存货等资产。</w:t>
      </w:r>
    </w:p>
    <w:p w14:paraId="4A4E7A6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借款费用同时满足下列条件时开始资本化：</w:t>
      </w:r>
    </w:p>
    <w:p w14:paraId="5BF8802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资产支出已经发生，资产支出包括为购建或者生产符合资本化条件的资产而以支付现金、转移非现金资产或者承担带息债务形式发生的支出；</w:t>
      </w:r>
    </w:p>
    <w:p w14:paraId="4628FAD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借款费用已经发生；</w:t>
      </w:r>
    </w:p>
    <w:p w14:paraId="3589B9B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为使资产达到预定可使用或者可销售状态所必要的购建或者生产活动已经开始。</w:t>
      </w:r>
    </w:p>
    <w:p w14:paraId="1A09E33A">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2.借款费用资本化期间</w:t>
      </w:r>
    </w:p>
    <w:p w14:paraId="5C4AB45F">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5A6D736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资本化期间，指从借款费用开始资本化时点到停止资本化时点的期间，借款费用暂停资本化的期间不包括在内。</w:t>
      </w:r>
    </w:p>
    <w:p w14:paraId="19BCDBA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当购建或者生产符合资本化条件的资产达到预定可使用或者可销售状态时，借款费用停止资本化。</w:t>
      </w:r>
    </w:p>
    <w:p w14:paraId="6292374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当购建或者生产符合资本化条件的资产中部分项目分别完工且可单独使用时，该部分资产借款费用停止资本化。</w:t>
      </w:r>
    </w:p>
    <w:p w14:paraId="01E8335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购建或者生产的资产的各部分分别完工，但必须等到整体完工后才可使用或可对外销售的，在该资产整体完工时停止借款费用资本化。</w:t>
      </w:r>
    </w:p>
    <w:p w14:paraId="0536FFED">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3.暂停资本化期间</w:t>
      </w:r>
    </w:p>
    <w:p w14:paraId="4CFAEF3D">
      <w:pPr>
        <w:pStyle w:val="4"/>
        <w:keepNext w:val="0"/>
        <w:keepLines w:val="0"/>
        <w:widowControl/>
        <w:suppressLineNumbers w:val="0"/>
        <w:spacing w:before="6"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3139CB8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符合资本化条件的资产在购建或生产过程中发生的非正常中断、且中断时间连续超过3个月的，则借款费用暂停资本化；该项中断如是所购建或生产的符合资本化条件的资产达到预定可使用状态或者可销售状态必要的程序，则借款费用继续资本化。在中断期间发生的借款费用确认为当期损益，直至资产的购建或者生产活动重新开始后借款费用继续资本化。</w:t>
      </w:r>
    </w:p>
    <w:p w14:paraId="2C44396A">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4.借款费用资本化金额的计算方法</w:t>
      </w:r>
    </w:p>
    <w:p w14:paraId="7C328321">
      <w:pPr>
        <w:pStyle w:val="4"/>
        <w:keepNext w:val="0"/>
        <w:keepLines w:val="0"/>
        <w:widowControl/>
        <w:suppressLineNumbers w:val="0"/>
        <w:spacing w:before="6"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4EFD00D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专门借款的利息费用（扣除尚未动用的借款资金存入银行取得的利息收入或者进行暂时性投资取得的投资收益）及其辅助费用在所购建或者生产的符合资本化条件的资产达到预定可使用或者可销售状态前，予以资本化。</w:t>
      </w:r>
    </w:p>
    <w:p w14:paraId="5B6B81F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根据累计资产支出超过专门借款部分的资产支出加权平均数乘以所占用一般借款的资本化率，计算确定一般借款应予资本化的利息金额。资本化率根据一般借款加权平均利率计算确定。</w:t>
      </w:r>
    </w:p>
    <w:p w14:paraId="0C38145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借款存在折价或者溢价的，按照实际利率法确定每一会计期间应摊销的折价或者溢价金额，调整每期利息金额。</w:t>
      </w:r>
    </w:p>
    <w:p w14:paraId="292AFB1E">
      <w:pPr>
        <w:keepNext/>
        <w:keepLines/>
        <w:spacing w:before="300" w:after="300" w:line="280" w:lineRule="exact"/>
        <w:jc w:val="left"/>
        <w:outlineLvl w:val="2"/>
        <w:rPr>
          <w:rFonts w:ascii="宋体" w:hAnsi="宋体" w:eastAsia="宋体" w:cs="宋体"/>
          <w:b/>
          <w:bCs/>
          <w:color w:val="auto"/>
          <w:sz w:val="21"/>
          <w:szCs w:val="21"/>
        </w:rPr>
      </w:pPr>
      <w:bookmarkStart w:id="44" w:name="_Toc989020"/>
      <w:r>
        <w:rPr>
          <w:rFonts w:ascii="宋体" w:hAnsi="宋体" w:eastAsia="宋体" w:cs="宋体"/>
          <w:b/>
          <w:bCs/>
          <w:color w:val="auto"/>
          <w:sz w:val="21"/>
          <w:szCs w:val="21"/>
        </w:rPr>
        <w:t>27、生物资产</w:t>
      </w:r>
      <w:bookmarkEnd w:id="44"/>
    </w:p>
    <w:p w14:paraId="3BC1D831">
      <w:pPr>
        <w:keepNext/>
        <w:keepLines/>
        <w:spacing w:before="300" w:after="300" w:line="280" w:lineRule="exact"/>
        <w:jc w:val="left"/>
        <w:outlineLvl w:val="2"/>
        <w:rPr>
          <w:rFonts w:ascii="宋体" w:hAnsi="宋体" w:eastAsia="宋体" w:cs="宋体"/>
          <w:b/>
          <w:bCs/>
          <w:color w:val="auto"/>
          <w:sz w:val="21"/>
          <w:szCs w:val="21"/>
        </w:rPr>
      </w:pPr>
      <w:bookmarkStart w:id="45" w:name="_Toc989021"/>
      <w:r>
        <w:rPr>
          <w:rFonts w:ascii="宋体" w:hAnsi="宋体" w:eastAsia="宋体" w:cs="宋体"/>
          <w:b/>
          <w:bCs/>
          <w:color w:val="auto"/>
          <w:sz w:val="21"/>
          <w:szCs w:val="21"/>
        </w:rPr>
        <w:t>28、油气资产</w:t>
      </w:r>
      <w:bookmarkEnd w:id="45"/>
    </w:p>
    <w:p w14:paraId="30FBC4AA">
      <w:pPr>
        <w:keepNext/>
        <w:keepLines/>
        <w:spacing w:before="300" w:after="300" w:line="280" w:lineRule="exact"/>
        <w:jc w:val="left"/>
        <w:outlineLvl w:val="2"/>
        <w:rPr>
          <w:rFonts w:ascii="宋体" w:hAnsi="宋体" w:eastAsia="宋体" w:cs="宋体"/>
          <w:b/>
          <w:bCs/>
          <w:color w:val="auto"/>
          <w:sz w:val="21"/>
          <w:szCs w:val="21"/>
        </w:rPr>
      </w:pPr>
      <w:bookmarkStart w:id="46" w:name="_Toc989022"/>
      <w:r>
        <w:rPr>
          <w:rFonts w:ascii="宋体" w:hAnsi="宋体" w:eastAsia="宋体" w:cs="宋体"/>
          <w:b/>
          <w:bCs/>
          <w:color w:val="auto"/>
          <w:sz w:val="21"/>
          <w:szCs w:val="21"/>
        </w:rPr>
        <w:t>29、无形资产</w:t>
      </w:r>
      <w:bookmarkEnd w:id="46"/>
    </w:p>
    <w:p w14:paraId="76D15859">
      <w:pPr>
        <w:keepNext/>
        <w:keepLines/>
        <w:spacing w:before="300" w:after="300" w:line="280" w:lineRule="exact"/>
        <w:jc w:val="left"/>
        <w:outlineLvl w:val="3"/>
        <w:rPr>
          <w:rFonts w:ascii="宋体" w:hAnsi="宋体" w:eastAsia="宋体" w:cs="宋体"/>
          <w:b/>
          <w:bCs/>
          <w:color w:val="auto"/>
          <w:sz w:val="21"/>
          <w:szCs w:val="21"/>
        </w:rPr>
      </w:pPr>
      <w:bookmarkStart w:id="47" w:name="_Toc989023"/>
      <w:r>
        <w:rPr>
          <w:rFonts w:ascii="宋体" w:hAnsi="宋体" w:eastAsia="宋体" w:cs="宋体"/>
          <w:b/>
          <w:bCs/>
          <w:color w:val="auto"/>
          <w:sz w:val="21"/>
          <w:szCs w:val="21"/>
        </w:rPr>
        <w:t>（1）使用寿命及其确定依据、估计情况、摊销方法或复核程序</w:t>
      </w:r>
      <w:bookmarkEnd w:id="47"/>
    </w:p>
    <w:p w14:paraId="754F2892">
      <w:pPr>
        <w:pStyle w:val="4"/>
        <w:keepNext w:val="0"/>
        <w:keepLines w:val="0"/>
        <w:widowControl/>
        <w:suppressLineNumbers w:val="0"/>
        <w:spacing w:before="155" w:beforeAutospacing="0" w:after="0" w:afterAutospacing="0"/>
        <w:ind w:left="0" w:right="0" w:firstLine="420"/>
        <w:jc w:val="left"/>
        <w:rPr>
          <w:rFonts w:hint="default" w:ascii="Times New Roman" w:hAnsi="Times New Roman" w:cs="Times New Roman"/>
          <w:color w:val="auto"/>
          <w:sz w:val="24"/>
          <w:szCs w:val="24"/>
        </w:rPr>
      </w:pPr>
      <w:r>
        <w:rPr>
          <w:rFonts w:hint="eastAsia" w:ascii="宋体" w:hAnsi="宋体" w:eastAsia="宋体" w:cs="宋体"/>
          <w:color w:val="auto"/>
          <w:sz w:val="21"/>
          <w:szCs w:val="21"/>
        </w:rPr>
        <w:t>无形资产是指本公司拥有或者控制的没有实物形态的可辨认非货币性资产，包括土地使用权、药品生产技术、办公软件。</w:t>
      </w:r>
    </w:p>
    <w:p w14:paraId="000EFEFD">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1.无形资产的初始计量</w:t>
      </w:r>
    </w:p>
    <w:p w14:paraId="23405CCA">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3A4C390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外购无形资产的成本，包括购买价款、相关税费以及直接归属于使该项资产达到预定用途所发生的其他支出。购买无形资产的价款超过正常信用条件延期支付，实质上具有融资性质的，无形资产的成本以购买价款的现值为基础确定。</w:t>
      </w:r>
    </w:p>
    <w:p w14:paraId="5793740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债务重组取得债务人用以抵债的无形资产，以该无形资产的公允价值为基础确定其入账价值，并将重组债务的账面价值与该用以抵债的无形资产公允价值之间的差额，计入当期损益。</w:t>
      </w:r>
    </w:p>
    <w:p w14:paraId="2FE9456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非货币性资产交换具备商业实质且换入资产或换出资产的公允价值能够可靠计量的前提下，非货币性资产交换换入的无形资产以换出资产的公允价值为基础确定其入账价值，除非有确凿证据表明换入资产的公允价值更加可靠；不满足上述前提的非货币性资产交换，以换出资产的账面价值和应支付的相关税费作为换入无形资产的成本，不确认损益。</w:t>
      </w:r>
    </w:p>
    <w:p w14:paraId="6415EC6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以同一控制下的企业吸收合并方式取得的无形资产按被合并方的账面价值确定其入账价值；以非同一控制下的企业吸收合并方式取得的无形资产按公允价值确定其入账价值。内部自行开发的无形资产，其成本包括：开发该无形资产时耗用的材料、劳务成本、注册费、在开发过程中使用的其他专利权和特许权的摊销以及满足资本化条件的利息费用，以及为使该无形资产达到预定用途前所发生的其他直接费用。</w:t>
      </w:r>
    </w:p>
    <w:p w14:paraId="3C3B8A54">
      <w:pPr>
        <w:pStyle w:val="4"/>
        <w:keepNext w:val="0"/>
        <w:keepLines w:val="0"/>
        <w:widowControl/>
        <w:suppressLineNumbers w:val="0"/>
        <w:spacing w:before="154"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2.无形资产的后续计量</w:t>
      </w:r>
    </w:p>
    <w:p w14:paraId="758007A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本公司在取得无形资产时分析判断其使用寿命，划分为使用寿命有限和使用寿命不确定的无形资产。</w:t>
      </w:r>
    </w:p>
    <w:p w14:paraId="5DB5067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对于使用寿命有限的无形资产，在为企业带来经济利益的期限内按直线法摊销。使用寿命有限的无形资产预计寿命及依据如下：</w:t>
      </w:r>
    </w:p>
    <w:p w14:paraId="396BEE4F">
      <w:pPr>
        <w:pStyle w:val="4"/>
        <w:keepNext w:val="0"/>
        <w:keepLines w:val="0"/>
        <w:widowControl/>
        <w:suppressLineNumbers w:val="0"/>
        <w:spacing w:before="100" w:beforeAutospacing="0" w:after="10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 </w:t>
      </w:r>
    </w:p>
    <w:tbl>
      <w:tblPr>
        <w:tblStyle w:val="5"/>
        <w:tblW w:w="824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294"/>
        <w:gridCol w:w="3260"/>
        <w:gridCol w:w="2694"/>
      </w:tblGrid>
      <w:tr w14:paraId="093BABA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30D9E93F">
            <w:pPr>
              <w:pStyle w:val="4"/>
              <w:keepNext w:val="0"/>
              <w:keepLines w:val="0"/>
              <w:widowControl/>
              <w:suppressLineNumbers w:val="0"/>
              <w:spacing w:before="61"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项目</w:t>
            </w:r>
          </w:p>
        </w:tc>
        <w:tc>
          <w:tcPr>
            <w:tcW w:w="326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2182BF49">
            <w:pPr>
              <w:pStyle w:val="4"/>
              <w:keepNext w:val="0"/>
              <w:keepLines w:val="0"/>
              <w:widowControl/>
              <w:suppressLineNumbers w:val="0"/>
              <w:spacing w:before="61" w:beforeAutospacing="0" w:after="0" w:afterAutospacing="0"/>
              <w:ind w:left="0" w:right="257"/>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预计使用寿命</w:t>
            </w:r>
          </w:p>
        </w:tc>
        <w:tc>
          <w:tcPr>
            <w:tcW w:w="2694"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34D7CE5D">
            <w:pPr>
              <w:pStyle w:val="4"/>
              <w:keepNext w:val="0"/>
              <w:keepLines w:val="0"/>
              <w:widowControl/>
              <w:suppressLineNumbers w:val="0"/>
              <w:spacing w:before="61" w:beforeAutospacing="0" w:after="0" w:afterAutospacing="0"/>
              <w:ind w:left="0" w:right="118"/>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依据</w:t>
            </w:r>
          </w:p>
        </w:tc>
      </w:tr>
      <w:tr w14:paraId="6C5759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2E990402">
            <w:pPr>
              <w:pStyle w:val="4"/>
              <w:keepNext w:val="0"/>
              <w:keepLines w:val="0"/>
              <w:widowControl/>
              <w:suppressLineNumbers w:val="0"/>
              <w:spacing w:before="62"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土地使用权</w:t>
            </w:r>
          </w:p>
        </w:tc>
        <w:tc>
          <w:tcPr>
            <w:tcW w:w="326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1055DE37">
            <w:pPr>
              <w:pStyle w:val="4"/>
              <w:keepNext w:val="0"/>
              <w:keepLines w:val="0"/>
              <w:widowControl/>
              <w:suppressLineNumbers w:val="0"/>
              <w:spacing w:before="62" w:beforeAutospacing="0" w:after="0" w:afterAutospacing="0"/>
              <w:ind w:left="0" w:right="345"/>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按土地出让年限或尚可使用年限</w:t>
            </w:r>
          </w:p>
        </w:tc>
        <w:tc>
          <w:tcPr>
            <w:tcW w:w="269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51BC13BC">
            <w:pPr>
              <w:pStyle w:val="4"/>
              <w:keepNext w:val="0"/>
              <w:keepLines w:val="0"/>
              <w:widowControl/>
              <w:suppressLineNumbers w:val="0"/>
              <w:spacing w:before="62" w:beforeAutospacing="0" w:after="0" w:afterAutospacing="0"/>
              <w:ind w:left="0" w:right="118"/>
              <w:jc w:val="right"/>
              <w:rPr>
                <w:rFonts w:hint="default" w:ascii="Times New Roman" w:hAnsi="Times New Roman" w:cs="Times New Roman"/>
                <w:color w:val="auto"/>
                <w:sz w:val="24"/>
                <w:szCs w:val="24"/>
              </w:rPr>
            </w:pPr>
            <w:r>
              <w:rPr>
                <w:rFonts w:hint="eastAsia" w:ascii="宋体" w:hAnsi="宋体" w:eastAsia="宋体" w:cs="宋体"/>
                <w:color w:val="auto"/>
                <w:sz w:val="18"/>
                <w:szCs w:val="18"/>
              </w:rPr>
              <w:t>土地证使用年限</w:t>
            </w:r>
          </w:p>
        </w:tc>
      </w:tr>
      <w:tr w14:paraId="1F3A7D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40B70574">
            <w:pPr>
              <w:pStyle w:val="4"/>
              <w:keepNext w:val="0"/>
              <w:keepLines w:val="0"/>
              <w:widowControl/>
              <w:suppressLineNumbers w:val="0"/>
              <w:spacing w:before="62"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药品生产技术</w:t>
            </w:r>
          </w:p>
        </w:tc>
        <w:tc>
          <w:tcPr>
            <w:tcW w:w="326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59F6992B">
            <w:pPr>
              <w:pStyle w:val="4"/>
              <w:keepNext w:val="0"/>
              <w:keepLines w:val="0"/>
              <w:widowControl/>
              <w:suppressLineNumbers w:val="0"/>
              <w:spacing w:before="62" w:beforeAutospacing="0" w:after="0" w:afterAutospacing="0"/>
              <w:ind w:left="0" w:right="345"/>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自取得药品生产批件起</w:t>
            </w:r>
            <w:r>
              <w:rPr>
                <w:rFonts w:ascii="Calibri" w:hAnsi="Calibri" w:cs="Calibri"/>
                <w:color w:val="auto"/>
                <w:sz w:val="18"/>
                <w:szCs w:val="18"/>
              </w:rPr>
              <w:t>5</w:t>
            </w:r>
            <w:r>
              <w:rPr>
                <w:rFonts w:hint="eastAsia" w:ascii="宋体" w:hAnsi="宋体" w:eastAsia="宋体" w:cs="宋体"/>
                <w:color w:val="auto"/>
                <w:sz w:val="18"/>
                <w:szCs w:val="18"/>
              </w:rPr>
              <w:t>年或</w:t>
            </w:r>
            <w:r>
              <w:rPr>
                <w:rFonts w:hint="default" w:ascii="Calibri" w:hAnsi="Calibri" w:cs="Calibri"/>
                <w:color w:val="auto"/>
                <w:sz w:val="18"/>
                <w:szCs w:val="18"/>
              </w:rPr>
              <w:t>10</w:t>
            </w:r>
            <w:r>
              <w:rPr>
                <w:rFonts w:hint="eastAsia" w:ascii="宋体" w:hAnsi="宋体" w:eastAsia="宋体" w:cs="宋体"/>
                <w:color w:val="auto"/>
                <w:sz w:val="18"/>
                <w:szCs w:val="18"/>
              </w:rPr>
              <w:t>年内摊销</w:t>
            </w:r>
          </w:p>
        </w:tc>
        <w:tc>
          <w:tcPr>
            <w:tcW w:w="269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1709AA45">
            <w:pPr>
              <w:pStyle w:val="4"/>
              <w:keepNext w:val="0"/>
              <w:keepLines w:val="0"/>
              <w:widowControl/>
              <w:suppressLineNumbers w:val="0"/>
              <w:spacing w:before="62" w:beforeAutospacing="0" w:after="0" w:afterAutospacing="0"/>
              <w:ind w:left="0" w:right="118"/>
              <w:jc w:val="right"/>
              <w:rPr>
                <w:rFonts w:hint="default" w:ascii="Times New Roman" w:hAnsi="Times New Roman" w:cs="Times New Roman"/>
                <w:color w:val="auto"/>
                <w:sz w:val="24"/>
                <w:szCs w:val="24"/>
              </w:rPr>
            </w:pPr>
            <w:r>
              <w:rPr>
                <w:rFonts w:hint="eastAsia" w:ascii="宋体" w:hAnsi="宋体" w:eastAsia="宋体" w:cs="宋体"/>
                <w:color w:val="auto"/>
                <w:sz w:val="18"/>
                <w:szCs w:val="18"/>
              </w:rPr>
              <w:t>行业惯例</w:t>
            </w:r>
          </w:p>
        </w:tc>
      </w:tr>
      <w:tr w14:paraId="031069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6532067C">
            <w:pPr>
              <w:pStyle w:val="4"/>
              <w:keepNext w:val="0"/>
              <w:keepLines w:val="0"/>
              <w:widowControl/>
              <w:suppressLineNumbers w:val="0"/>
              <w:spacing w:before="62"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办公软件</w:t>
            </w:r>
          </w:p>
        </w:tc>
        <w:tc>
          <w:tcPr>
            <w:tcW w:w="326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6277C2E3">
            <w:pPr>
              <w:pStyle w:val="4"/>
              <w:keepNext w:val="0"/>
              <w:keepLines w:val="0"/>
              <w:widowControl/>
              <w:suppressLineNumbers w:val="0"/>
              <w:spacing w:before="62" w:beforeAutospacing="0" w:after="0" w:afterAutospacing="0"/>
              <w:ind w:left="0" w:right="345"/>
              <w:jc w:val="both"/>
              <w:rPr>
                <w:rFonts w:hint="default" w:ascii="Times New Roman" w:hAnsi="Times New Roman" w:cs="Times New Roman"/>
                <w:color w:val="auto"/>
                <w:sz w:val="24"/>
                <w:szCs w:val="24"/>
              </w:rPr>
            </w:pPr>
            <w:r>
              <w:rPr>
                <w:rFonts w:hint="default" w:ascii="Calibri" w:hAnsi="Calibri" w:cs="Calibri"/>
                <w:color w:val="auto"/>
                <w:sz w:val="18"/>
                <w:szCs w:val="18"/>
              </w:rPr>
              <w:t>5</w:t>
            </w:r>
            <w:r>
              <w:rPr>
                <w:rFonts w:hint="eastAsia" w:ascii="宋体" w:hAnsi="宋体" w:eastAsia="宋体" w:cs="宋体"/>
                <w:color w:val="auto"/>
                <w:sz w:val="18"/>
                <w:szCs w:val="18"/>
              </w:rPr>
              <w:t>年</w:t>
            </w:r>
          </w:p>
        </w:tc>
        <w:tc>
          <w:tcPr>
            <w:tcW w:w="269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436727DD">
            <w:pPr>
              <w:pStyle w:val="4"/>
              <w:keepNext w:val="0"/>
              <w:keepLines w:val="0"/>
              <w:widowControl/>
              <w:suppressLineNumbers w:val="0"/>
              <w:spacing w:before="62" w:beforeAutospacing="0" w:after="0" w:afterAutospacing="0"/>
              <w:ind w:left="0" w:right="118"/>
              <w:jc w:val="right"/>
              <w:rPr>
                <w:rFonts w:hint="default" w:ascii="Times New Roman" w:hAnsi="Times New Roman" w:cs="Times New Roman"/>
                <w:color w:val="auto"/>
                <w:sz w:val="24"/>
                <w:szCs w:val="24"/>
              </w:rPr>
            </w:pPr>
            <w:r>
              <w:rPr>
                <w:rFonts w:hint="eastAsia" w:ascii="宋体" w:hAnsi="宋体" w:eastAsia="宋体" w:cs="宋体"/>
                <w:color w:val="auto"/>
                <w:sz w:val="18"/>
                <w:szCs w:val="18"/>
              </w:rPr>
              <w:t>行业惯例</w:t>
            </w:r>
          </w:p>
        </w:tc>
      </w:tr>
      <w:tr w14:paraId="7DB2D0D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3F299535">
            <w:pPr>
              <w:pStyle w:val="4"/>
              <w:keepNext w:val="0"/>
              <w:keepLines w:val="0"/>
              <w:widowControl/>
              <w:suppressLineNumbers w:val="0"/>
              <w:spacing w:before="62"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商标权</w:t>
            </w:r>
          </w:p>
        </w:tc>
        <w:tc>
          <w:tcPr>
            <w:tcW w:w="326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2A89A980">
            <w:pPr>
              <w:pStyle w:val="4"/>
              <w:keepNext w:val="0"/>
              <w:keepLines w:val="0"/>
              <w:widowControl/>
              <w:suppressLineNumbers w:val="0"/>
              <w:spacing w:before="62" w:beforeAutospacing="0" w:after="0" w:afterAutospacing="0"/>
              <w:ind w:left="0" w:right="345"/>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商标有效期</w:t>
            </w:r>
          </w:p>
        </w:tc>
        <w:tc>
          <w:tcPr>
            <w:tcW w:w="269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34934E74">
            <w:pPr>
              <w:pStyle w:val="4"/>
              <w:keepNext w:val="0"/>
              <w:keepLines w:val="0"/>
              <w:widowControl/>
              <w:suppressLineNumbers w:val="0"/>
              <w:spacing w:before="62" w:beforeAutospacing="0" w:after="0" w:afterAutospacing="0"/>
              <w:ind w:left="0" w:right="118"/>
              <w:jc w:val="right"/>
              <w:rPr>
                <w:rFonts w:hint="default" w:ascii="Times New Roman" w:hAnsi="Times New Roman" w:cs="Times New Roman"/>
                <w:color w:val="auto"/>
                <w:sz w:val="24"/>
                <w:szCs w:val="24"/>
              </w:rPr>
            </w:pPr>
            <w:r>
              <w:rPr>
                <w:rFonts w:hint="eastAsia" w:ascii="宋体" w:hAnsi="宋体" w:eastAsia="宋体" w:cs="宋体"/>
                <w:color w:val="auto"/>
                <w:sz w:val="18"/>
                <w:szCs w:val="18"/>
              </w:rPr>
              <w:t>法律规定</w:t>
            </w:r>
          </w:p>
        </w:tc>
      </w:tr>
      <w:tr w14:paraId="0194C1D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294"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54F7B282">
            <w:pPr>
              <w:pStyle w:val="4"/>
              <w:keepNext w:val="0"/>
              <w:keepLines w:val="0"/>
              <w:widowControl/>
              <w:suppressLineNumbers w:val="0"/>
              <w:spacing w:before="62"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特许权</w:t>
            </w:r>
          </w:p>
        </w:tc>
        <w:tc>
          <w:tcPr>
            <w:tcW w:w="326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726D4F3B">
            <w:pPr>
              <w:pStyle w:val="4"/>
              <w:keepNext w:val="0"/>
              <w:keepLines w:val="0"/>
              <w:widowControl/>
              <w:suppressLineNumbers w:val="0"/>
              <w:spacing w:before="62" w:beforeAutospacing="0" w:after="0" w:afterAutospacing="0"/>
              <w:ind w:left="0" w:right="345"/>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许可年限</w:t>
            </w:r>
          </w:p>
        </w:tc>
        <w:tc>
          <w:tcPr>
            <w:tcW w:w="2694"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0FC770CF">
            <w:pPr>
              <w:pStyle w:val="4"/>
              <w:keepNext w:val="0"/>
              <w:keepLines w:val="0"/>
              <w:widowControl/>
              <w:suppressLineNumbers w:val="0"/>
              <w:spacing w:before="62" w:beforeAutospacing="0" w:after="0" w:afterAutospacing="0"/>
              <w:ind w:left="0" w:right="118"/>
              <w:jc w:val="right"/>
              <w:rPr>
                <w:rFonts w:hint="default" w:ascii="Times New Roman" w:hAnsi="Times New Roman" w:cs="Times New Roman"/>
                <w:color w:val="auto"/>
                <w:sz w:val="24"/>
                <w:szCs w:val="24"/>
              </w:rPr>
            </w:pPr>
            <w:r>
              <w:rPr>
                <w:rFonts w:hint="eastAsia" w:ascii="宋体" w:hAnsi="宋体" w:eastAsia="宋体" w:cs="宋体"/>
                <w:color w:val="auto"/>
                <w:sz w:val="18"/>
                <w:szCs w:val="18"/>
              </w:rPr>
              <w:t>法律规定</w:t>
            </w:r>
          </w:p>
        </w:tc>
      </w:tr>
    </w:tbl>
    <w:p w14:paraId="557DCCC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每期末，对使用寿命有限的无形资产的使用寿命及摊销方法进行复核，如与原先估计数存在差异的，进行相应的调整。</w:t>
      </w:r>
    </w:p>
    <w:p w14:paraId="2D2B21FD">
      <w:pPr>
        <w:keepNext/>
        <w:keepLines/>
        <w:spacing w:before="300" w:after="300" w:line="280" w:lineRule="exact"/>
        <w:jc w:val="left"/>
        <w:outlineLvl w:val="3"/>
        <w:rPr>
          <w:rFonts w:ascii="宋体" w:hAnsi="宋体" w:eastAsia="宋体" w:cs="宋体"/>
          <w:b/>
          <w:bCs/>
          <w:color w:val="auto"/>
          <w:sz w:val="21"/>
          <w:szCs w:val="21"/>
        </w:rPr>
      </w:pPr>
      <w:bookmarkStart w:id="48" w:name="_Toc989024"/>
      <w:r>
        <w:rPr>
          <w:rFonts w:ascii="宋体" w:hAnsi="宋体" w:eastAsia="宋体" w:cs="宋体"/>
          <w:b/>
          <w:bCs/>
          <w:color w:val="auto"/>
          <w:sz w:val="21"/>
          <w:szCs w:val="21"/>
        </w:rPr>
        <w:t>（2）研发支出的归集范围及相关会计处理方法</w:t>
      </w:r>
      <w:bookmarkEnd w:id="48"/>
    </w:p>
    <w:p w14:paraId="0FEF47CB">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3"/>
          <w:sz w:val="21"/>
          <w:szCs w:val="21"/>
        </w:rPr>
        <w:t>分公司内部研究开发项目的研究阶段和开发阶段具体标准</w:t>
      </w:r>
    </w:p>
    <w:p w14:paraId="2851E55C">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62ECD53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研究阶段：为获取并理解新的科学或技术知识等而进行的独创性的有计划调查、研究活动的阶段。</w:t>
      </w:r>
    </w:p>
    <w:p w14:paraId="0C35402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开发阶段：在进行商业性生产或使用前，将研究成果或其他知识应用于某项计划或设计，以生产出新的或具有实质性改进的材料、装置、产品等活动的阶段。</w:t>
      </w:r>
    </w:p>
    <w:p w14:paraId="73810C0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内部研究开发项目研究阶段的支出，在发生时计入当期损益。</w:t>
      </w:r>
    </w:p>
    <w:p w14:paraId="07C28E83">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1.开发阶段支出符合资本化的具体标准</w:t>
      </w:r>
    </w:p>
    <w:p w14:paraId="348A73CF">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7BE8F77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内部研究开发项目开发阶段的支出，同时满足下列条件时确认为无形资产：</w:t>
      </w:r>
    </w:p>
    <w:p w14:paraId="48558CF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完成该无形资产以使其能够使用或出售在技术上具有可行性；</w:t>
      </w:r>
    </w:p>
    <w:p w14:paraId="536B406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具有完成该无形资产并使用或出售的意图；</w:t>
      </w:r>
    </w:p>
    <w:p w14:paraId="1ACD9B4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无形资产产生经济利益的方式，包括能够证明运用该无形资产生产的产品存在市场或无形资产自身存在市场，无形资产将在内部使用的，能够证明其有用性；</w:t>
      </w:r>
    </w:p>
    <w:p w14:paraId="2C315E6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有足够的技术、财务资源和其他资源支持，以完成该无形资产的开发，并有能力使用或出售该无形资产；</w:t>
      </w:r>
    </w:p>
    <w:p w14:paraId="5A1C135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归属于该无形资产开发阶段的支出能够可靠地计量。公司按照下列方法确定内部研究开发支出的资本化时点：</w:t>
      </w:r>
    </w:p>
    <w:p w14:paraId="3539A86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新化学药品资本化时间点</w:t>
      </w:r>
    </w:p>
    <w:p w14:paraId="34D19BAB">
      <w:pPr>
        <w:pStyle w:val="4"/>
        <w:keepNext w:val="0"/>
        <w:keepLines w:val="0"/>
        <w:widowControl/>
        <w:suppressLineNumbers w:val="0"/>
        <w:spacing w:before="10"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7"/>
          <w:szCs w:val="7"/>
        </w:rPr>
        <w:t> </w:t>
      </w:r>
    </w:p>
    <w:tbl>
      <w:tblPr>
        <w:tblStyle w:val="5"/>
        <w:tblW w:w="832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846"/>
        <w:gridCol w:w="6482"/>
      </w:tblGrid>
      <w:tr w14:paraId="7BFB12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1846"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32DE34BD">
            <w:pPr>
              <w:pStyle w:val="4"/>
              <w:keepNext w:val="0"/>
              <w:keepLines w:val="0"/>
              <w:widowControl/>
              <w:suppressLineNumbers w:val="0"/>
              <w:spacing w:before="62"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化药类别</w:t>
            </w:r>
          </w:p>
        </w:tc>
        <w:tc>
          <w:tcPr>
            <w:tcW w:w="6482"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542A4C31">
            <w:pPr>
              <w:pStyle w:val="4"/>
              <w:keepNext w:val="0"/>
              <w:keepLines w:val="0"/>
              <w:widowControl/>
              <w:suppressLineNumbers w:val="0"/>
              <w:spacing w:before="62" w:beforeAutospacing="0" w:after="0" w:afterAutospacing="0"/>
              <w:ind w:left="0" w:right="2351"/>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研发费用资本化政策</w:t>
            </w:r>
          </w:p>
        </w:tc>
      </w:tr>
      <w:tr w14:paraId="78D68D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79" w:hRule="atLeast"/>
        </w:trPr>
        <w:tc>
          <w:tcPr>
            <w:tcW w:w="1846"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0EC151D9">
            <w:pPr>
              <w:pStyle w:val="4"/>
              <w:keepNext w:val="0"/>
              <w:keepLines w:val="0"/>
              <w:widowControl/>
              <w:suppressLineNumbers w:val="0"/>
              <w:spacing w:before="131"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化药一类</w:t>
            </w:r>
          </w:p>
        </w:tc>
        <w:tc>
          <w:tcPr>
            <w:tcW w:w="648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75BD0955">
            <w:pPr>
              <w:pStyle w:val="4"/>
              <w:keepNext w:val="0"/>
              <w:keepLines w:val="0"/>
              <w:widowControl/>
              <w:suppressLineNumbers w:val="0"/>
              <w:spacing w:before="2" w:beforeAutospacing="0" w:after="0" w:afterAutospacing="0" w:line="240" w:lineRule="atLeast"/>
              <w:ind w:left="0" w:right="66"/>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正常申报的在进入</w:t>
            </w:r>
            <w:r>
              <w:rPr>
                <w:rFonts w:ascii="Arial Narrow" w:hAnsi="Arial Narrow" w:eastAsia="Arial Narrow" w:cs="Arial Narrow"/>
                <w:color w:val="auto"/>
                <w:sz w:val="18"/>
                <w:szCs w:val="18"/>
              </w:rPr>
              <w:t>III</w:t>
            </w:r>
            <w:r>
              <w:rPr>
                <w:rFonts w:hint="eastAsia" w:ascii="宋体" w:hAnsi="宋体" w:eastAsia="宋体" w:cs="宋体"/>
                <w:color w:val="auto"/>
                <w:sz w:val="18"/>
                <w:szCs w:val="18"/>
              </w:rPr>
              <w:t>期临床至取得生产批件之间的费用资本化，</w:t>
            </w:r>
            <w:r>
              <w:rPr>
                <w:rFonts w:hint="default" w:ascii="Arial Narrow" w:hAnsi="Arial Narrow" w:eastAsia="Arial Narrow" w:cs="Arial Narrow"/>
                <w:color w:val="auto"/>
                <w:sz w:val="18"/>
                <w:szCs w:val="18"/>
              </w:rPr>
              <w:t>II/III</w:t>
            </w:r>
            <w:r>
              <w:rPr>
                <w:rFonts w:hint="eastAsia" w:ascii="宋体" w:hAnsi="宋体" w:eastAsia="宋体" w:cs="宋体"/>
                <w:color w:val="auto"/>
                <w:sz w:val="18"/>
                <w:szCs w:val="18"/>
              </w:rPr>
              <w:t>期临床联合申报的以达成实质性</w:t>
            </w:r>
            <w:r>
              <w:rPr>
                <w:rFonts w:hint="default" w:ascii="Arial Narrow" w:hAnsi="Arial Narrow" w:eastAsia="Arial Narrow" w:cs="Arial Narrow"/>
                <w:color w:val="auto"/>
                <w:sz w:val="18"/>
                <w:szCs w:val="18"/>
              </w:rPr>
              <w:t>II</w:t>
            </w:r>
            <w:r>
              <w:rPr>
                <w:rFonts w:hint="eastAsia" w:ascii="宋体" w:hAnsi="宋体" w:eastAsia="宋体" w:cs="宋体"/>
                <w:color w:val="auto"/>
                <w:sz w:val="18"/>
                <w:szCs w:val="18"/>
              </w:rPr>
              <w:t>期临床研究目的后至取得生产批件之间的费用资本化</w:t>
            </w:r>
          </w:p>
        </w:tc>
      </w:tr>
      <w:tr w14:paraId="7330FC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77" w:hRule="atLeast"/>
        </w:trPr>
        <w:tc>
          <w:tcPr>
            <w:tcW w:w="1846"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2CEE68AC">
            <w:pPr>
              <w:pStyle w:val="4"/>
              <w:keepNext w:val="0"/>
              <w:keepLines w:val="0"/>
              <w:widowControl/>
              <w:suppressLineNumbers w:val="0"/>
              <w:spacing w:before="129"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化药二类</w:t>
            </w:r>
          </w:p>
        </w:tc>
        <w:tc>
          <w:tcPr>
            <w:tcW w:w="648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622E73F1">
            <w:pPr>
              <w:pStyle w:val="4"/>
              <w:keepNext w:val="0"/>
              <w:keepLines w:val="0"/>
              <w:widowControl/>
              <w:suppressLineNumbers w:val="0"/>
              <w:spacing w:before="0" w:beforeAutospacing="0" w:after="0" w:afterAutospacing="0" w:line="240" w:lineRule="atLeast"/>
              <w:ind w:left="0" w:right="66"/>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正常申报的在进入</w:t>
            </w:r>
            <w:r>
              <w:rPr>
                <w:rFonts w:hint="default" w:ascii="Arial Narrow" w:hAnsi="Arial Narrow" w:eastAsia="Arial Narrow" w:cs="Arial Narrow"/>
                <w:color w:val="auto"/>
                <w:sz w:val="18"/>
                <w:szCs w:val="18"/>
              </w:rPr>
              <w:t>III</w:t>
            </w:r>
            <w:r>
              <w:rPr>
                <w:rFonts w:hint="eastAsia" w:ascii="宋体" w:hAnsi="宋体" w:eastAsia="宋体" w:cs="宋体"/>
                <w:color w:val="auto"/>
                <w:sz w:val="18"/>
                <w:szCs w:val="18"/>
              </w:rPr>
              <w:t>期临床至取得生产批件之间的费用资本化，</w:t>
            </w:r>
            <w:r>
              <w:rPr>
                <w:rFonts w:hint="default" w:ascii="Arial Narrow" w:hAnsi="Arial Narrow" w:eastAsia="Arial Narrow" w:cs="Arial Narrow"/>
                <w:color w:val="auto"/>
                <w:sz w:val="18"/>
                <w:szCs w:val="18"/>
              </w:rPr>
              <w:t>II/III</w:t>
            </w:r>
            <w:r>
              <w:rPr>
                <w:rFonts w:hint="eastAsia" w:ascii="宋体" w:hAnsi="宋体" w:eastAsia="宋体" w:cs="宋体"/>
                <w:color w:val="auto"/>
                <w:sz w:val="18"/>
                <w:szCs w:val="18"/>
              </w:rPr>
              <w:t>期临床联合申报的以达成实质性</w:t>
            </w:r>
            <w:r>
              <w:rPr>
                <w:rFonts w:hint="default" w:ascii="Arial Narrow" w:hAnsi="Arial Narrow" w:eastAsia="Arial Narrow" w:cs="Arial Narrow"/>
                <w:color w:val="auto"/>
                <w:sz w:val="18"/>
                <w:szCs w:val="18"/>
              </w:rPr>
              <w:t>II</w:t>
            </w:r>
            <w:r>
              <w:rPr>
                <w:rFonts w:hint="eastAsia" w:ascii="宋体" w:hAnsi="宋体" w:eastAsia="宋体" w:cs="宋体"/>
                <w:color w:val="auto"/>
                <w:sz w:val="18"/>
                <w:szCs w:val="18"/>
              </w:rPr>
              <w:t>期临床研究目的后至取得生产批件之间的费用资本化</w:t>
            </w:r>
          </w:p>
        </w:tc>
      </w:tr>
      <w:tr w14:paraId="20FF35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37" w:hRule="atLeast"/>
        </w:trPr>
        <w:tc>
          <w:tcPr>
            <w:tcW w:w="1846"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4BE9547D">
            <w:pPr>
              <w:pStyle w:val="4"/>
              <w:keepNext w:val="0"/>
              <w:keepLines w:val="0"/>
              <w:widowControl/>
              <w:suppressLineNumbers w:val="0"/>
              <w:spacing w:before="59"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化药三类</w:t>
            </w:r>
          </w:p>
        </w:tc>
        <w:tc>
          <w:tcPr>
            <w:tcW w:w="648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32863755">
            <w:pPr>
              <w:pStyle w:val="4"/>
              <w:keepNext w:val="0"/>
              <w:keepLines w:val="0"/>
              <w:widowControl/>
              <w:suppressLineNumbers w:val="0"/>
              <w:spacing w:before="59"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获得人体生物等效性临床备案至取得生产批件之间的费用资本化</w:t>
            </w:r>
          </w:p>
        </w:tc>
      </w:tr>
      <w:tr w14:paraId="30D553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1846"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36B3A464">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化药四类</w:t>
            </w:r>
          </w:p>
        </w:tc>
        <w:tc>
          <w:tcPr>
            <w:tcW w:w="648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030A7D01">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获得人体生物等效性临床备案至取得生产批件之间的费用资本化</w:t>
            </w:r>
          </w:p>
        </w:tc>
      </w:tr>
      <w:tr w14:paraId="07BA78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1846"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304DCD3E">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化药五类</w:t>
            </w:r>
          </w:p>
        </w:tc>
        <w:tc>
          <w:tcPr>
            <w:tcW w:w="6482"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7646C14D">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取得临床批件至取得生产批件之间的费用资本化</w:t>
            </w:r>
          </w:p>
        </w:tc>
      </w:tr>
    </w:tbl>
    <w:p w14:paraId="612AD513">
      <w:pPr>
        <w:pStyle w:val="4"/>
        <w:keepNext w:val="0"/>
        <w:keepLines w:val="0"/>
        <w:widowControl/>
        <w:suppressLineNumbers w:val="0"/>
        <w:spacing w:before="1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9"/>
          <w:szCs w:val="19"/>
        </w:rPr>
        <w:t> </w:t>
      </w:r>
    </w:p>
    <w:p w14:paraId="38F08C22">
      <w:pPr>
        <w:pStyle w:val="4"/>
        <w:keepNext w:val="0"/>
        <w:keepLines w:val="0"/>
        <w:widowControl/>
        <w:suppressLineNumbers w:val="0"/>
        <w:spacing w:before="100" w:beforeAutospacing="0" w:after="100" w:afterAutospacing="0" w:line="360" w:lineRule="auto"/>
        <w:ind w:left="0" w:right="0" w:firstLine="408"/>
        <w:jc w:val="both"/>
        <w:rPr>
          <w:rFonts w:hint="default" w:ascii="Times New Roman" w:hAnsi="Times New Roman" w:cs="Times New Roman"/>
          <w:color w:val="auto"/>
          <w:sz w:val="24"/>
          <w:szCs w:val="24"/>
        </w:rPr>
      </w:pPr>
      <w:r>
        <w:rPr>
          <w:rFonts w:hint="eastAsia" w:ascii="宋体" w:hAnsi="宋体" w:eastAsia="宋体" w:cs="宋体"/>
          <w:color w:val="auto"/>
          <w:spacing w:val="-3"/>
          <w:sz w:val="21"/>
          <w:szCs w:val="21"/>
        </w:rPr>
        <w:t>一</w:t>
      </w:r>
      <w:r>
        <w:rPr>
          <w:rFonts w:hint="eastAsia" w:ascii="宋体" w:hAnsi="宋体" w:eastAsia="宋体" w:cs="宋体"/>
          <w:color w:val="auto"/>
          <w:sz w:val="21"/>
          <w:szCs w:val="21"/>
        </w:rPr>
        <w:t>致性评价资本化时点为项目立项审批起至通过一致性评价之间的费用资本化。</w:t>
      </w:r>
    </w:p>
    <w:p w14:paraId="7A0E145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 </w:t>
      </w:r>
    </w:p>
    <w:p w14:paraId="3AC3D04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中药资本化时间点</w:t>
      </w:r>
    </w:p>
    <w:p w14:paraId="2D3DD18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根据国家食品药品监督管理总局于2020年9月27日发布的“《中药注册分类及申报资料要求》（2020年第68号）”，公司根据各类药品的特点及研发注册流程，确定各类药品的开发阶段资本化时点分别为：</w:t>
      </w:r>
    </w:p>
    <w:p w14:paraId="75CEAEC2">
      <w:pPr>
        <w:pStyle w:val="4"/>
        <w:keepNext w:val="0"/>
        <w:keepLines w:val="0"/>
        <w:widowControl/>
        <w:suppressLineNumbers w:val="0"/>
        <w:spacing w:before="0"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20"/>
          <w:szCs w:val="20"/>
        </w:rPr>
        <w:t> </w:t>
      </w:r>
    </w:p>
    <w:tbl>
      <w:tblPr>
        <w:tblStyle w:val="5"/>
        <w:tblW w:w="832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578"/>
        <w:gridCol w:w="5750"/>
      </w:tblGrid>
      <w:tr w14:paraId="5AD0986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40" w:hRule="atLeast"/>
        </w:trPr>
        <w:tc>
          <w:tcPr>
            <w:tcW w:w="2578"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1770604C">
            <w:pPr>
              <w:pStyle w:val="4"/>
              <w:keepNext w:val="0"/>
              <w:keepLines w:val="0"/>
              <w:widowControl/>
              <w:suppressLineNumbers w:val="0"/>
              <w:spacing w:before="62" w:beforeAutospacing="0" w:after="0" w:afterAutospacing="0"/>
              <w:ind w:left="0" w:right="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化药类别</w:t>
            </w:r>
          </w:p>
        </w:tc>
        <w:tc>
          <w:tcPr>
            <w:tcW w:w="575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2CC060B8">
            <w:pPr>
              <w:pStyle w:val="4"/>
              <w:keepNext w:val="0"/>
              <w:keepLines w:val="0"/>
              <w:widowControl/>
              <w:suppressLineNumbers w:val="0"/>
              <w:spacing w:before="62" w:beforeAutospacing="0" w:after="0" w:afterAutospacing="0"/>
              <w:ind w:left="0" w:right="2351"/>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研发费用资本化政策</w:t>
            </w:r>
          </w:p>
        </w:tc>
      </w:tr>
      <w:tr w14:paraId="103716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79" w:hRule="atLeast"/>
        </w:trPr>
        <w:tc>
          <w:tcPr>
            <w:tcW w:w="257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247EB66E">
            <w:pPr>
              <w:pStyle w:val="4"/>
              <w:keepNext w:val="0"/>
              <w:keepLines w:val="0"/>
              <w:widowControl/>
              <w:suppressLineNumbers w:val="0"/>
              <w:spacing w:before="131"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中药创新药</w:t>
            </w:r>
          </w:p>
        </w:tc>
        <w:tc>
          <w:tcPr>
            <w:tcW w:w="575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34B45889">
            <w:pPr>
              <w:pStyle w:val="4"/>
              <w:keepNext w:val="0"/>
              <w:keepLines w:val="0"/>
              <w:widowControl/>
              <w:suppressLineNumbers w:val="0"/>
              <w:spacing w:before="2" w:beforeAutospacing="0" w:after="0" w:afterAutospacing="0" w:line="240" w:lineRule="atLeast"/>
              <w:ind w:left="0" w:right="66"/>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进入</w:t>
            </w:r>
            <w:r>
              <w:rPr>
                <w:rFonts w:ascii="Calibri" w:hAnsi="Calibri" w:cs="Calibri"/>
                <w:color w:val="auto"/>
                <w:sz w:val="18"/>
                <w:szCs w:val="18"/>
              </w:rPr>
              <w:t>III</w:t>
            </w:r>
            <w:r>
              <w:rPr>
                <w:rFonts w:hint="eastAsia" w:ascii="宋体" w:hAnsi="宋体" w:eastAsia="宋体" w:cs="宋体"/>
                <w:color w:val="auto"/>
                <w:sz w:val="18"/>
                <w:szCs w:val="18"/>
              </w:rPr>
              <w:t>期临床至取得生产批件之间的费用资本化</w:t>
            </w:r>
          </w:p>
        </w:tc>
      </w:tr>
      <w:tr w14:paraId="61AFC14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77" w:hRule="atLeast"/>
        </w:trPr>
        <w:tc>
          <w:tcPr>
            <w:tcW w:w="257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13A5E825">
            <w:pPr>
              <w:pStyle w:val="4"/>
              <w:keepNext w:val="0"/>
              <w:keepLines w:val="0"/>
              <w:widowControl/>
              <w:suppressLineNumbers w:val="0"/>
              <w:spacing w:before="129"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中药改良型新药</w:t>
            </w:r>
          </w:p>
        </w:tc>
        <w:tc>
          <w:tcPr>
            <w:tcW w:w="575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669AC7CF">
            <w:pPr>
              <w:pStyle w:val="4"/>
              <w:keepNext w:val="0"/>
              <w:keepLines w:val="0"/>
              <w:widowControl/>
              <w:suppressLineNumbers w:val="0"/>
              <w:spacing w:before="0" w:beforeAutospacing="0" w:after="0" w:afterAutospacing="0" w:line="240" w:lineRule="atLeast"/>
              <w:ind w:left="0" w:right="66"/>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进入</w:t>
            </w:r>
            <w:r>
              <w:rPr>
                <w:rFonts w:hint="default" w:ascii="Calibri" w:hAnsi="Calibri" w:cs="Calibri"/>
                <w:color w:val="auto"/>
                <w:sz w:val="18"/>
                <w:szCs w:val="18"/>
              </w:rPr>
              <w:t>III</w:t>
            </w:r>
            <w:r>
              <w:rPr>
                <w:rFonts w:hint="eastAsia" w:ascii="宋体" w:hAnsi="宋体" w:eastAsia="宋体" w:cs="宋体"/>
                <w:color w:val="auto"/>
                <w:sz w:val="18"/>
                <w:szCs w:val="18"/>
              </w:rPr>
              <w:t>期临床至取得生产批件之间的费用资本化</w:t>
            </w:r>
          </w:p>
        </w:tc>
      </w:tr>
      <w:tr w14:paraId="313018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37" w:hRule="atLeast"/>
        </w:trPr>
        <w:tc>
          <w:tcPr>
            <w:tcW w:w="2578"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center"/>
          </w:tcPr>
          <w:p w14:paraId="23E9C0ED">
            <w:pPr>
              <w:pStyle w:val="4"/>
              <w:keepNext w:val="0"/>
              <w:keepLines w:val="0"/>
              <w:widowControl/>
              <w:suppressLineNumbers w:val="0"/>
              <w:spacing w:before="59"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古代经典名方中药复方制剂</w:t>
            </w:r>
          </w:p>
        </w:tc>
        <w:tc>
          <w:tcPr>
            <w:tcW w:w="5750"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center"/>
          </w:tcPr>
          <w:p w14:paraId="305248CC">
            <w:pPr>
              <w:pStyle w:val="4"/>
              <w:keepNext w:val="0"/>
              <w:keepLines w:val="0"/>
              <w:widowControl/>
              <w:suppressLineNumbers w:val="0"/>
              <w:spacing w:before="59" w:beforeAutospacing="0" w:after="0" w:afterAutospacing="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获得临床批件至取得生产批件之间的费用资本化</w:t>
            </w:r>
          </w:p>
        </w:tc>
      </w:tr>
    </w:tbl>
    <w:p w14:paraId="660ABDF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不满足上述条件的开发阶段的支出，于发生时计入当期损益。以前期间已计入损益的开发支出不在以后期间重新确认为资产。已资本化的开发阶段的支出在资产负债表上列示为开发支出，自该项目达到预定用途之日起转为无形资产。</w:t>
      </w:r>
    </w:p>
    <w:p w14:paraId="0F5E6C3A">
      <w:pPr>
        <w:keepNext/>
        <w:keepLines/>
        <w:spacing w:before="300" w:after="300" w:line="280" w:lineRule="exact"/>
        <w:jc w:val="left"/>
        <w:outlineLvl w:val="2"/>
        <w:rPr>
          <w:rFonts w:ascii="宋体" w:hAnsi="宋体" w:eastAsia="宋体" w:cs="宋体"/>
          <w:b/>
          <w:bCs/>
          <w:color w:val="auto"/>
          <w:sz w:val="21"/>
          <w:szCs w:val="21"/>
        </w:rPr>
      </w:pPr>
      <w:bookmarkStart w:id="49" w:name="_Toc989025"/>
      <w:r>
        <w:rPr>
          <w:rFonts w:ascii="宋体" w:hAnsi="宋体" w:eastAsia="宋体" w:cs="宋体"/>
          <w:b/>
          <w:bCs/>
          <w:color w:val="auto"/>
          <w:sz w:val="21"/>
          <w:szCs w:val="21"/>
        </w:rPr>
        <w:t>30、长期资产减值</w:t>
      </w:r>
      <w:bookmarkEnd w:id="49"/>
    </w:p>
    <w:p w14:paraId="283916A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每一个资产负债表日检查长期资产是否存在可能发生减值的迹象。如果长期资产存在减值迹象，则以单项资产为基础估计其可收回金额；难以对单项资产的可收回金额进行估计的，以该资产所属的资产组为基础确定资产组的可收回金额。</w:t>
      </w:r>
    </w:p>
    <w:p w14:paraId="22F786F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资产可收回金额的估计，根据其公允价值减去处置费用后的净额与资产预计未来现金流量的现值两者之间较高者确定。</w:t>
      </w:r>
    </w:p>
    <w:p w14:paraId="1D7CFBC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可收回金额的计量结果表明，长期资产的可收回金额低于其账面价值的，将长期资产的账面价值减记至可收回金额，减记的金额确认为资产减值损失，计入当期损益，同时计提相应的资产减值准备。资产减值损失一经确认，在以后会计期间不得转回。</w:t>
      </w:r>
    </w:p>
    <w:p w14:paraId="6AFAE37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资产减值损失确认后，减值资产的折旧或者摊销费用在未来期间作相应调整，以使该资产在剩余使用寿命内，系统地分摊调整后的资产账面价值（扣除预计净残值）。</w:t>
      </w:r>
    </w:p>
    <w:p w14:paraId="34CAFA9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因企业合并所形成的商誉和使用寿命不确定的无形资产，无论是否存在减值迹象，每年都进行减值测试。</w:t>
      </w:r>
    </w:p>
    <w:p w14:paraId="1B6270A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对商誉进行减值测试时，将商誉的账面价值分摊至预期从企业合并的协同效应中受益的资产组或资产组组合。在对包含商誉的相关资产组或者资产组组合进行减值测试时，如与商誉相关的资产组或者资产组组合存在减值迹象的，先对不包含商誉的资产组或者资产组组合进行减值测试，计算可收回金额，并与相关账面价值相比较，确认相应的减值损失。再对包含商誉的资产组或者资产组组合进行减值测试，比较这些相关资产组或者资产组组合的账面价值（包括所分摊的商誉的账面价值部分）与其可收回金额，如相关资产组或者资产组组合的可收回金额低于其账面价值的，确认商誉的减值损失。</w:t>
      </w:r>
    </w:p>
    <w:p w14:paraId="797E92BB">
      <w:pPr>
        <w:keepNext/>
        <w:keepLines/>
        <w:spacing w:before="300" w:after="300" w:line="280" w:lineRule="exact"/>
        <w:jc w:val="left"/>
        <w:outlineLvl w:val="2"/>
        <w:rPr>
          <w:rFonts w:ascii="宋体" w:hAnsi="宋体" w:eastAsia="宋体" w:cs="宋体"/>
          <w:b/>
          <w:bCs/>
          <w:color w:val="auto"/>
          <w:sz w:val="21"/>
          <w:szCs w:val="21"/>
        </w:rPr>
      </w:pPr>
      <w:bookmarkStart w:id="50" w:name="_Toc989026"/>
      <w:r>
        <w:rPr>
          <w:rFonts w:ascii="宋体" w:hAnsi="宋体" w:eastAsia="宋体" w:cs="宋体"/>
          <w:b/>
          <w:bCs/>
          <w:color w:val="auto"/>
          <w:sz w:val="21"/>
          <w:szCs w:val="21"/>
        </w:rPr>
        <w:t>31、长期待摊费用</w:t>
      </w:r>
      <w:bookmarkEnd w:id="50"/>
    </w:p>
    <w:p w14:paraId="2194A482">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1.摊销方法</w:t>
      </w:r>
    </w:p>
    <w:p w14:paraId="0DB2010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长期待摊费用，是指本公司已经发生但应由本期和以后各期负担的分摊期限在1年以上的各项费用。长期待摊费用在受益期内按直线法分期摊销。</w:t>
      </w:r>
    </w:p>
    <w:p w14:paraId="1EC85283">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2.摊销年限</w:t>
      </w:r>
    </w:p>
    <w:p w14:paraId="57B927BF">
      <w:pPr>
        <w:pStyle w:val="4"/>
        <w:keepNext w:val="0"/>
        <w:keepLines w:val="0"/>
        <w:widowControl/>
        <w:suppressLineNumbers w:val="0"/>
        <w:spacing w:before="10"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7"/>
          <w:szCs w:val="7"/>
        </w:rPr>
        <w:t> </w:t>
      </w:r>
    </w:p>
    <w:tbl>
      <w:tblPr>
        <w:tblStyle w:val="5"/>
        <w:tblW w:w="8329"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785"/>
        <w:gridCol w:w="2773"/>
        <w:gridCol w:w="2771"/>
      </w:tblGrid>
      <w:tr w14:paraId="35DAA2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785" w:type="dxa"/>
            <w:tcBorders>
              <w:top w:val="single" w:color="auto" w:sz="8" w:space="0"/>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1DA0FE66">
            <w:pPr>
              <w:pStyle w:val="4"/>
              <w:keepNext w:val="0"/>
              <w:keepLines w:val="0"/>
              <w:widowControl/>
              <w:suppressLineNumbers w:val="0"/>
              <w:spacing w:before="62" w:beforeAutospacing="0" w:after="0" w:afterAutospacing="0"/>
              <w:ind w:left="0" w:right="1076"/>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类别</w:t>
            </w:r>
          </w:p>
        </w:tc>
        <w:tc>
          <w:tcPr>
            <w:tcW w:w="2773"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4F084531">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摊销年限</w:t>
            </w:r>
          </w:p>
        </w:tc>
        <w:tc>
          <w:tcPr>
            <w:tcW w:w="2771"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top"/>
          </w:tcPr>
          <w:p w14:paraId="68328FA6">
            <w:pPr>
              <w:pStyle w:val="4"/>
              <w:keepNext w:val="0"/>
              <w:keepLines w:val="0"/>
              <w:widowControl/>
              <w:suppressLineNumbers w:val="0"/>
              <w:spacing w:before="62" w:beforeAutospacing="0" w:after="0" w:afterAutospacing="0"/>
              <w:ind w:left="0" w:right="950"/>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备注</w:t>
            </w:r>
          </w:p>
        </w:tc>
      </w:tr>
      <w:tr w14:paraId="6DF2050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785"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3B28D9F2">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自有房屋装修费</w:t>
            </w:r>
          </w:p>
        </w:tc>
        <w:tc>
          <w:tcPr>
            <w:tcW w:w="2773"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57854B81">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ascii="Arial Narrow" w:hAnsi="Arial Narrow" w:eastAsia="Arial Narrow" w:cs="Arial Narrow"/>
                <w:color w:val="auto"/>
                <w:sz w:val="18"/>
                <w:szCs w:val="18"/>
              </w:rPr>
              <w:t>10</w:t>
            </w:r>
            <w:r>
              <w:rPr>
                <w:rFonts w:hint="eastAsia" w:ascii="宋体" w:hAnsi="宋体" w:eastAsia="宋体" w:cs="宋体"/>
                <w:color w:val="auto"/>
                <w:sz w:val="18"/>
                <w:szCs w:val="18"/>
              </w:rPr>
              <w:t>年</w:t>
            </w:r>
          </w:p>
        </w:tc>
        <w:tc>
          <w:tcPr>
            <w:tcW w:w="2771"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79552865">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预计使用年限</w:t>
            </w:r>
          </w:p>
        </w:tc>
      </w:tr>
      <w:tr w14:paraId="25A092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40" w:hRule="atLeast"/>
        </w:trPr>
        <w:tc>
          <w:tcPr>
            <w:tcW w:w="2785" w:type="dxa"/>
            <w:tcBorders>
              <w:top w:val="nil"/>
              <w:left w:val="single" w:color="auto" w:sz="8" w:space="0"/>
              <w:bottom w:val="single" w:color="auto" w:sz="8" w:space="0"/>
              <w:right w:val="single" w:color="auto" w:sz="8" w:space="0"/>
            </w:tcBorders>
            <w:shd w:val="clear" w:color="auto" w:fill="auto"/>
            <w:tcMar>
              <w:top w:w="0" w:type="dxa"/>
              <w:left w:w="0" w:type="dxa"/>
              <w:bottom w:w="0" w:type="dxa"/>
              <w:right w:w="0" w:type="dxa"/>
            </w:tcMar>
            <w:vAlign w:val="top"/>
          </w:tcPr>
          <w:p w14:paraId="32238B9A">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租赁房屋装修费</w:t>
            </w:r>
          </w:p>
        </w:tc>
        <w:tc>
          <w:tcPr>
            <w:tcW w:w="2773"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5E0A040B">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租期与</w:t>
            </w:r>
            <w:r>
              <w:rPr>
                <w:rFonts w:hint="default" w:ascii="Arial Narrow" w:hAnsi="Arial Narrow" w:eastAsia="Arial Narrow" w:cs="Arial Narrow"/>
                <w:color w:val="auto"/>
                <w:sz w:val="18"/>
                <w:szCs w:val="18"/>
              </w:rPr>
              <w:t>5</w:t>
            </w:r>
            <w:r>
              <w:rPr>
                <w:rFonts w:hint="eastAsia" w:ascii="宋体" w:hAnsi="宋体" w:eastAsia="宋体" w:cs="宋体"/>
                <w:color w:val="auto"/>
                <w:sz w:val="18"/>
                <w:szCs w:val="18"/>
              </w:rPr>
              <w:t>年孰短</w:t>
            </w:r>
          </w:p>
        </w:tc>
        <w:tc>
          <w:tcPr>
            <w:tcW w:w="2771" w:type="dxa"/>
            <w:tcBorders>
              <w:top w:val="nil"/>
              <w:left w:val="nil"/>
              <w:bottom w:val="single" w:color="auto" w:sz="8" w:space="0"/>
              <w:right w:val="single" w:color="auto" w:sz="8" w:space="0"/>
            </w:tcBorders>
            <w:shd w:val="clear" w:color="auto" w:fill="auto"/>
            <w:tcMar>
              <w:top w:w="0" w:type="dxa"/>
              <w:left w:w="0" w:type="dxa"/>
              <w:bottom w:w="0" w:type="dxa"/>
              <w:right w:w="0" w:type="dxa"/>
            </w:tcMar>
            <w:vAlign w:val="top"/>
          </w:tcPr>
          <w:p w14:paraId="31FDD93B">
            <w:pPr>
              <w:pStyle w:val="4"/>
              <w:keepNext w:val="0"/>
              <w:keepLines w:val="0"/>
              <w:widowControl/>
              <w:suppressLineNumbers w:val="0"/>
              <w:spacing w:before="62"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预计使用年限</w:t>
            </w:r>
          </w:p>
        </w:tc>
      </w:tr>
    </w:tbl>
    <w:p w14:paraId="77EE618C">
      <w:pPr>
        <w:keepNext/>
        <w:keepLines/>
        <w:spacing w:before="300" w:after="300" w:line="280" w:lineRule="exact"/>
        <w:jc w:val="left"/>
        <w:outlineLvl w:val="2"/>
        <w:rPr>
          <w:rFonts w:ascii="宋体" w:hAnsi="宋体" w:eastAsia="宋体" w:cs="宋体"/>
          <w:b/>
          <w:bCs/>
          <w:color w:val="auto"/>
          <w:sz w:val="21"/>
          <w:szCs w:val="21"/>
        </w:rPr>
      </w:pPr>
      <w:bookmarkStart w:id="51" w:name="_Toc989027"/>
      <w:r>
        <w:rPr>
          <w:rFonts w:ascii="宋体" w:hAnsi="宋体" w:eastAsia="宋体" w:cs="宋体"/>
          <w:b/>
          <w:bCs/>
          <w:color w:val="auto"/>
          <w:sz w:val="21"/>
          <w:szCs w:val="21"/>
        </w:rPr>
        <w:t>32、合同负债</w:t>
      </w:r>
      <w:bookmarkEnd w:id="51"/>
    </w:p>
    <w:p w14:paraId="1591EF0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本公司将已收或应收客户对价而应向客户转让商品的义务部分确认为合同负债。</w:t>
      </w:r>
    </w:p>
    <w:p w14:paraId="74D9BEB1">
      <w:pPr>
        <w:keepNext/>
        <w:keepLines/>
        <w:spacing w:before="300" w:after="300" w:line="280" w:lineRule="exact"/>
        <w:jc w:val="left"/>
        <w:outlineLvl w:val="2"/>
        <w:rPr>
          <w:rFonts w:ascii="宋体" w:hAnsi="宋体" w:eastAsia="宋体" w:cs="宋体"/>
          <w:b/>
          <w:bCs/>
          <w:color w:val="auto"/>
          <w:sz w:val="21"/>
          <w:szCs w:val="21"/>
        </w:rPr>
      </w:pPr>
      <w:bookmarkStart w:id="52" w:name="_Toc989028"/>
      <w:r>
        <w:rPr>
          <w:rFonts w:ascii="宋体" w:hAnsi="宋体" w:eastAsia="宋体" w:cs="宋体"/>
          <w:b/>
          <w:bCs/>
          <w:color w:val="auto"/>
          <w:sz w:val="21"/>
          <w:szCs w:val="21"/>
        </w:rPr>
        <w:t>33、职工薪酬</w:t>
      </w:r>
      <w:bookmarkEnd w:id="52"/>
    </w:p>
    <w:p w14:paraId="4588B384">
      <w:pPr>
        <w:keepNext/>
        <w:keepLines/>
        <w:spacing w:before="300" w:after="300" w:line="280" w:lineRule="exact"/>
        <w:jc w:val="left"/>
        <w:outlineLvl w:val="3"/>
        <w:rPr>
          <w:rFonts w:ascii="宋体" w:hAnsi="宋体" w:eastAsia="宋体" w:cs="宋体"/>
          <w:b/>
          <w:bCs/>
          <w:color w:val="auto"/>
          <w:sz w:val="21"/>
          <w:szCs w:val="21"/>
        </w:rPr>
      </w:pPr>
      <w:bookmarkStart w:id="53" w:name="_Toc989029"/>
      <w:r>
        <w:rPr>
          <w:rFonts w:ascii="宋体" w:hAnsi="宋体" w:eastAsia="宋体" w:cs="宋体"/>
          <w:b/>
          <w:bCs/>
          <w:color w:val="auto"/>
          <w:sz w:val="21"/>
          <w:szCs w:val="21"/>
        </w:rPr>
        <w:t>（1）短期薪酬的会计处理方法</w:t>
      </w:r>
      <w:bookmarkEnd w:id="53"/>
    </w:p>
    <w:p w14:paraId="6A082D1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短期薪酬是指本公司在职工提供相关服务的年度报告期间结束后十二个月内需要全部予以支付的职工薪酬，离职后福利和辞退福利除外。本公司在职工提供服务的会计期间，将应付的短期薪酬确认为负债，并根据职工提供服务的受益对象计入相关资产成本和费用。</w:t>
      </w:r>
    </w:p>
    <w:p w14:paraId="2E62C1A1">
      <w:pPr>
        <w:keepNext/>
        <w:keepLines/>
        <w:spacing w:before="300" w:after="300" w:line="280" w:lineRule="exact"/>
        <w:jc w:val="left"/>
        <w:outlineLvl w:val="3"/>
        <w:rPr>
          <w:rFonts w:ascii="宋体" w:hAnsi="宋体" w:eastAsia="宋体" w:cs="宋体"/>
          <w:b/>
          <w:bCs/>
          <w:color w:val="auto"/>
          <w:sz w:val="21"/>
          <w:szCs w:val="21"/>
        </w:rPr>
      </w:pPr>
      <w:bookmarkStart w:id="54" w:name="_Toc989030"/>
      <w:r>
        <w:rPr>
          <w:rFonts w:ascii="宋体" w:hAnsi="宋体" w:eastAsia="宋体" w:cs="宋体"/>
          <w:b/>
          <w:bCs/>
          <w:color w:val="auto"/>
          <w:sz w:val="21"/>
          <w:szCs w:val="21"/>
        </w:rPr>
        <w:t>（2）离职后福利的会计处理方法</w:t>
      </w:r>
      <w:bookmarkEnd w:id="54"/>
    </w:p>
    <w:p w14:paraId="14F83C2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离职后福利是指本公司为获得职工提供的服务而在职工退休或与企业解除劳动关系后，提供的各种形式的报酬和福利，短期薪酬和辞退福利除外。</w:t>
      </w:r>
    </w:p>
    <w:p w14:paraId="1791849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本公司的离职后福利计划分类为设定提存计划和设定受益计划。</w:t>
      </w:r>
    </w:p>
    <w:p w14:paraId="2210BA0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离职后福利设定提存计划主要为参加由各地劳动及社会保障机构组织实施的社会基本养老保险、失业保险等。在职工为本公司提供服务的会计期间，将根据设定提存计划计算的应缴存金额确认为负债，并计入当期损益或相关资产成本。</w:t>
      </w:r>
    </w:p>
    <w:p w14:paraId="6FA4F48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本公司按照国家规定的标准定期缴付上述款项后，不再有其他的支付义务。</w:t>
      </w:r>
    </w:p>
    <w:p w14:paraId="43903B1F">
      <w:pPr>
        <w:keepNext/>
        <w:keepLines/>
        <w:spacing w:before="300" w:after="300" w:line="280" w:lineRule="exact"/>
        <w:jc w:val="left"/>
        <w:outlineLvl w:val="3"/>
        <w:rPr>
          <w:rFonts w:ascii="宋体" w:hAnsi="宋体" w:eastAsia="宋体" w:cs="宋体"/>
          <w:b/>
          <w:bCs/>
          <w:color w:val="auto"/>
          <w:sz w:val="21"/>
          <w:szCs w:val="21"/>
        </w:rPr>
      </w:pPr>
      <w:bookmarkStart w:id="55" w:name="_Toc989031"/>
      <w:r>
        <w:rPr>
          <w:rFonts w:ascii="宋体" w:hAnsi="宋体" w:eastAsia="宋体" w:cs="宋体"/>
          <w:b/>
          <w:bCs/>
          <w:color w:val="auto"/>
          <w:sz w:val="21"/>
          <w:szCs w:val="21"/>
        </w:rPr>
        <w:t>（3）辞退福利的会计处理方法</w:t>
      </w:r>
      <w:bookmarkEnd w:id="55"/>
    </w:p>
    <w:p w14:paraId="230EB6A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辞退福利是指本公司在职工劳动合同到期之前解除与职工的劳动关系，或者为鼓励职工自愿接受裁减而给予职工的补偿，在本公司不能单方面撤回解除劳动关系计划或裁减建议时和确认与涉及支付辞退福利的重组相关的成本费用时两者孰早日，确认因解除与职工的劳动关系给予补偿而产生的负债，同时计入当期损益。</w:t>
      </w:r>
    </w:p>
    <w:p w14:paraId="20D40CA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向接受内部退休安排的职工提供内退福利。内退福利是指，向未达到国家规定的退休年龄、经本公司管理层批准自愿退出工作岗位的职工支付的工资及为其缴纳的社会保险费等。本公司自内部退休安排开始之日起至职工达到正常退休年龄止，向内退职工支付内部退养福利。对于内退福利，本公司比照辞退福利进行会计处理，在符合辞退福利相关确认条件时，将自职工停止提供服务日至正常退休日期间拟支付的内退职工工资和缴纳的社会保险费等，确认为负债，一次性</w:t>
      </w:r>
      <w:r>
        <w:rPr>
          <w:rFonts w:hint="eastAsia" w:ascii="宋体" w:hAnsi="宋体" w:eastAsia="宋体" w:cs="宋体"/>
          <w:color w:val="auto"/>
          <w:spacing w:val="-13"/>
          <w:sz w:val="21"/>
          <w:szCs w:val="21"/>
        </w:rPr>
        <w:t>计入当期损益。内退福利的精算假设变化及福利标准调整引起的</w:t>
      </w:r>
      <w:r>
        <w:rPr>
          <w:rFonts w:hint="eastAsia" w:ascii="宋体" w:hAnsi="宋体" w:eastAsia="宋体" w:cs="宋体"/>
          <w:color w:val="auto"/>
          <w:spacing w:val="-6"/>
          <w:sz w:val="21"/>
          <w:szCs w:val="21"/>
        </w:rPr>
        <w:t>差异于发生时计入当期损益。</w:t>
      </w:r>
    </w:p>
    <w:p w14:paraId="62DBA907">
      <w:pPr>
        <w:keepNext/>
        <w:keepLines/>
        <w:spacing w:before="300" w:after="300" w:line="280" w:lineRule="exact"/>
        <w:jc w:val="left"/>
        <w:outlineLvl w:val="3"/>
        <w:rPr>
          <w:rFonts w:ascii="宋体" w:hAnsi="宋体" w:eastAsia="宋体" w:cs="宋体"/>
          <w:b/>
          <w:bCs/>
          <w:color w:val="auto"/>
          <w:sz w:val="21"/>
          <w:szCs w:val="21"/>
        </w:rPr>
      </w:pPr>
      <w:bookmarkStart w:id="56" w:name="_Toc989032"/>
      <w:r>
        <w:rPr>
          <w:rFonts w:ascii="宋体" w:hAnsi="宋体" w:eastAsia="宋体" w:cs="宋体"/>
          <w:b/>
          <w:bCs/>
          <w:color w:val="auto"/>
          <w:sz w:val="21"/>
          <w:szCs w:val="21"/>
        </w:rPr>
        <w:t>（4）其他长期职工福利的会计处理方法</w:t>
      </w:r>
      <w:bookmarkEnd w:id="56"/>
    </w:p>
    <w:p w14:paraId="1CEDA33F">
      <w:pPr>
        <w:keepNext/>
        <w:keepLines/>
        <w:spacing w:before="300" w:after="300" w:line="280" w:lineRule="exact"/>
        <w:jc w:val="left"/>
        <w:outlineLvl w:val="2"/>
        <w:rPr>
          <w:rFonts w:ascii="宋体" w:hAnsi="宋体" w:eastAsia="宋体" w:cs="宋体"/>
          <w:b/>
          <w:bCs/>
          <w:color w:val="auto"/>
          <w:sz w:val="21"/>
          <w:szCs w:val="21"/>
        </w:rPr>
      </w:pPr>
      <w:bookmarkStart w:id="57" w:name="_Toc989033"/>
      <w:bookmarkStart w:id="58" w:name="_Toc989034"/>
      <w:r>
        <w:rPr>
          <w:rFonts w:ascii="宋体" w:hAnsi="宋体" w:eastAsia="宋体" w:cs="宋体"/>
          <w:b/>
          <w:bCs/>
          <w:color w:val="auto"/>
          <w:sz w:val="21"/>
          <w:szCs w:val="21"/>
        </w:rPr>
        <w:t>34、预计负债</w:t>
      </w:r>
      <w:bookmarkEnd w:id="57"/>
    </w:p>
    <w:p w14:paraId="383DD58D">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1.预计负债的确认标准</w:t>
      </w:r>
    </w:p>
    <w:p w14:paraId="32F1DD5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当与或有事项相关的义务是本公司承担的现时义务，且履行该义务很可能导致经济利益流出，以及该义务的金额能够可靠地计量，则确认为预计负债。</w:t>
      </w:r>
    </w:p>
    <w:p w14:paraId="08209E13">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2.预计负债的计量方法</w:t>
      </w:r>
    </w:p>
    <w:p w14:paraId="156DB57E">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59B949B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本公司预计负债按履行相关现时义务所需的支出的最佳估计数进行初始计量。</w:t>
      </w:r>
    </w:p>
    <w:p w14:paraId="69DE407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本公司在确定最佳估计数时，综合考虑与或有事项有关的风险、不确定性和货币时间价值等因素。对于货币时间价值影响重大的，通过对相关未来现金流出进行折现后确定最佳估计数。</w:t>
      </w:r>
    </w:p>
    <w:p w14:paraId="50BAC04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最佳估计数分别以下情况处理：</w:t>
      </w:r>
    </w:p>
    <w:p w14:paraId="7770271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所需支出存在一个连续范围（或区间），且该范围内各种结果发生的可能性相同的，则最佳估计数按照该范围的中间值即上下限金额的平均数确定。</w:t>
      </w:r>
    </w:p>
    <w:p w14:paraId="3575B1D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所需支出不存在一个连续范围（或区间），或虽然存在一个连续范围但该范围内各种结果发生的可能性不相同的，如或有事项涉及单个项目的，则最佳估计数按照最可能发生金额确定；如或有事项涉及多个项目的，则最佳估计数按各种可能结果及相关概率计算确定。本公司清偿预计负债所需支出全部或部分预期由第三方补偿的，补偿金额在基本确定能够收到时，作为资产单独确认，确认的补偿金额不超过预计负债的账面价值。</w:t>
      </w:r>
    </w:p>
    <w:p w14:paraId="15ED4425">
      <w:pPr>
        <w:keepNext/>
        <w:keepLines/>
        <w:spacing w:before="300" w:after="300" w:line="280" w:lineRule="exact"/>
        <w:jc w:val="left"/>
        <w:outlineLvl w:val="2"/>
        <w:rPr>
          <w:rFonts w:ascii="宋体" w:hAnsi="宋体" w:eastAsia="宋体" w:cs="宋体"/>
          <w:b/>
          <w:bCs/>
          <w:color w:val="auto"/>
          <w:sz w:val="21"/>
          <w:szCs w:val="21"/>
        </w:rPr>
      </w:pPr>
      <w:r>
        <w:rPr>
          <w:rFonts w:ascii="宋体" w:hAnsi="宋体" w:eastAsia="宋体" w:cs="宋体"/>
          <w:b/>
          <w:bCs/>
          <w:color w:val="auto"/>
          <w:sz w:val="21"/>
          <w:szCs w:val="21"/>
        </w:rPr>
        <w:t>35、股份支付</w:t>
      </w:r>
      <w:bookmarkEnd w:id="58"/>
    </w:p>
    <w:p w14:paraId="3E548B37">
      <w:pPr>
        <w:pStyle w:val="4"/>
        <w:keepNext w:val="0"/>
        <w:keepLines w:val="0"/>
        <w:widowControl/>
        <w:suppressLineNumbers w:val="0"/>
        <w:spacing w:before="1"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1.股份支付的种类</w:t>
      </w:r>
    </w:p>
    <w:p w14:paraId="52974A9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 本公司的股份支付分为以权益结算的股份支付和以现金结算的股份支付。</w:t>
      </w:r>
    </w:p>
    <w:p w14:paraId="415D72FC">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2.权益工具公允价值的确定方法</w:t>
      </w:r>
      <w:r>
        <w:rPr>
          <w:rFonts w:hint="eastAsia" w:ascii="宋体" w:hAnsi="宋体" w:eastAsia="宋体" w:cs="宋体"/>
          <w:color w:val="auto"/>
          <w:sz w:val="21"/>
          <w:szCs w:val="21"/>
        </w:rPr>
        <w:t> </w:t>
      </w:r>
    </w:p>
    <w:p w14:paraId="4D104F0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授予的存在活跃市场的期权等权益工具，按照活跃市场中的报价确定其公允价值。对于授予的不存在活跃市场的期权等权益工具，采用期权定价模型等确定其公允价值，选用的期权定价模型考虑以下因素：（1）期权的行权价格；（2）期权的有效期；（3）标的股</w:t>
      </w:r>
    </w:p>
    <w:p w14:paraId="5FA3CF4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份的现行价格；（4）股价预计波动率；（5）股份的预计股利；（6）期权有效期内的无风险利率。</w:t>
      </w:r>
    </w:p>
    <w:p w14:paraId="0989C8D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确定权益工具授予日的公允价值时，考虑股份支付协议规定的可行权条件中的市场条件和非可行权条件的影响。股份支付存在非可行权条件的，只要职工或其他方满足了所有可行权条件中的非市场条件（如服务期限等），即确认已得到服务相对应的成本费用。</w:t>
      </w:r>
    </w:p>
    <w:p w14:paraId="27519923">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3.确定可行权权益工具最佳估计的依据</w:t>
      </w:r>
    </w:p>
    <w:p w14:paraId="508B15D6">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2CC5AA1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等待期内每个资产负债表日，根据最新取得的可行权职工人数变动等后续信息作出最佳估计，修正预计可行权的权益工具数量。在可行权日，最终预计可行权权益工具的数量与实际可行权数量一致。</w:t>
      </w:r>
    </w:p>
    <w:p w14:paraId="7A883E73">
      <w:pPr>
        <w:pStyle w:val="4"/>
        <w:keepNext w:val="0"/>
        <w:keepLines w:val="0"/>
        <w:widowControl/>
        <w:suppressLineNumbers w:val="0"/>
        <w:spacing w:before="155"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4.会计处理方法</w:t>
      </w:r>
    </w:p>
    <w:p w14:paraId="5E005C25">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3AA8EEF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权益结算和现金结算股份支付的会计处理</w:t>
      </w:r>
    </w:p>
    <w:p w14:paraId="7725C88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 </w:t>
      </w:r>
    </w:p>
    <w:p w14:paraId="402D00C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以权益结算的股份支付，按授予职工权益工具的公允价值计量。授予后立即可行权的，在授予日按照权益工具的公允价值计入相关成本或费用，相应增加资本公积。在完成等待期内的服务或达到规定业绩条件才可行权的，在等待期内的每个资产负债表日，以对可行权权益工具数量的最佳估计为基础，按照权益工具授予日的公允价值，将当期取得的服务计入相关成本或费用和资本公积。在可行权日之后不再对已确认的相关成本或费用和所有者权益总额进行调整。</w:t>
      </w:r>
    </w:p>
    <w:p w14:paraId="119D654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以现金结算的股份支付，按照本公司承担的以股份或其他权益工具为基础计算确定的负债的公允价值计量。授予后立即可行权的，在授予日以本公司承担负债的公允价值计入相关成本或费用，相应增加负债。在完成等待期内的服务或达到规定业绩条件以后才可行权的以现金结算的股份支付，在等待期内的每个资产负债表日，以对可行权情况的最佳估计为基础，按照本公司承担负债的公允价值金额，将当期取得的服务计入成本或费用和相应的负债。在相关负债结算前的每个资产负债表日以及结算日，对负债的公允价值重新计量，其变动计入当期损益。</w:t>
      </w:r>
    </w:p>
    <w:p w14:paraId="10B8A27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股份支付取消的会计处理</w:t>
      </w:r>
    </w:p>
    <w:p w14:paraId="39D8EA9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若在等待期内取消了授予的权益工具，本公司对取消所授予的权益性工具作为加速行权处理，将剩余等待期内应确认的金额立即计入当期损益，同时确认资本公积。职工或其他方</w:t>
      </w:r>
      <w:r>
        <w:rPr>
          <w:rFonts w:hint="eastAsia" w:ascii="宋体" w:hAnsi="宋体" w:eastAsia="宋体" w:cs="宋体"/>
          <w:color w:val="auto"/>
          <w:spacing w:val="-7"/>
          <w:sz w:val="21"/>
          <w:szCs w:val="21"/>
        </w:rPr>
        <w:t>能够选择满足非可行权条件但在等待期内未满足的，本公司将其作为授予权益工具的取消处</w:t>
      </w:r>
      <w:r>
        <w:rPr>
          <w:rFonts w:hint="eastAsia" w:ascii="宋体" w:hAnsi="宋体" w:eastAsia="宋体" w:cs="宋体"/>
          <w:color w:val="auto"/>
          <w:spacing w:val="-5"/>
          <w:sz w:val="21"/>
          <w:szCs w:val="21"/>
        </w:rPr>
        <w:t>理。</w:t>
      </w:r>
    </w:p>
    <w:p w14:paraId="3AF73D8C">
      <w:pPr>
        <w:keepNext/>
        <w:keepLines/>
        <w:spacing w:before="300" w:after="300" w:line="280" w:lineRule="exact"/>
        <w:jc w:val="left"/>
        <w:outlineLvl w:val="2"/>
        <w:rPr>
          <w:rFonts w:ascii="宋体" w:hAnsi="宋体" w:eastAsia="宋体" w:cs="宋体"/>
          <w:b/>
          <w:bCs/>
          <w:color w:val="auto"/>
          <w:sz w:val="21"/>
          <w:szCs w:val="21"/>
        </w:rPr>
      </w:pPr>
      <w:bookmarkStart w:id="59" w:name="_Toc989035"/>
      <w:r>
        <w:rPr>
          <w:rFonts w:ascii="宋体" w:hAnsi="宋体" w:eastAsia="宋体" w:cs="宋体"/>
          <w:b/>
          <w:bCs/>
          <w:color w:val="auto"/>
          <w:sz w:val="21"/>
          <w:szCs w:val="21"/>
        </w:rPr>
        <w:t>36、优先股、永续债等其他金融工具</w:t>
      </w:r>
      <w:bookmarkEnd w:id="59"/>
    </w:p>
    <w:p w14:paraId="32375FCC">
      <w:pPr>
        <w:keepNext/>
        <w:keepLines/>
        <w:spacing w:before="300" w:after="300" w:line="280" w:lineRule="exact"/>
        <w:jc w:val="left"/>
        <w:outlineLvl w:val="2"/>
        <w:rPr>
          <w:rFonts w:ascii="宋体" w:hAnsi="宋体" w:eastAsia="宋体" w:cs="宋体"/>
          <w:b/>
          <w:bCs/>
          <w:color w:val="auto"/>
          <w:sz w:val="21"/>
          <w:szCs w:val="21"/>
        </w:rPr>
      </w:pPr>
      <w:bookmarkStart w:id="60" w:name="_Toc989036"/>
      <w:r>
        <w:rPr>
          <w:rFonts w:ascii="宋体" w:hAnsi="宋体" w:eastAsia="宋体" w:cs="宋体"/>
          <w:b/>
          <w:bCs/>
          <w:color w:val="auto"/>
          <w:sz w:val="21"/>
          <w:szCs w:val="21"/>
        </w:rPr>
        <w:t>37、收入</w:t>
      </w:r>
      <w:bookmarkEnd w:id="60"/>
    </w:p>
    <w:p w14:paraId="7F9DAC3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按照业务类型披露收入确认和计量所采用的会计政策</w:t>
      </w:r>
    </w:p>
    <w:p w14:paraId="2A61446D">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1.收入确认的一般原则</w:t>
      </w:r>
    </w:p>
    <w:p w14:paraId="25F3FD6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 </w:t>
      </w:r>
    </w:p>
    <w:p w14:paraId="7172135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履行了合同中的履约义务，即在客户取得相关商品或服务控制权时，按照分摊至该项履约义务的交易价格确认收入。履约义务，是指合同中本公司向客户转让可明确区分商品或服务的承诺。取得相关商品控制权，是指能够主导该商品的使用并从中获得几乎全部的经济利益。</w:t>
      </w:r>
    </w:p>
    <w:p w14:paraId="7967964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合同开始日即对合同进行评估，识别该合同所包含的各单项履约义务，并确定各单项履约义务是在某一时段内履行，还是某一时点履行。满足下列条件之一的，属于在某一时间段内履行的履约义务，本公司按照履约进度，在一段时间内确认收入：(1)客户在本公司履约的同时即取得并消耗本公司履约所带来的经济利益；(2)客户能够控制本公司履约过程中在建的商品；(3)本公司履约过程中所产出的商品具有不可替代用途，且本公司在整个合同期间内有权就累计至今已完成的履约部分收取款项。否则，本公司在客户取得相关商品或服务控制权的时点确认收入。</w:t>
      </w:r>
    </w:p>
    <w:p w14:paraId="766D5E1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在某一时段内履行的履约义务，本公司根据商品和劳务的性质，采用产出法确定恰当的履约进度。产出法是根据已转移给客户的商品对于客户的价值确定履约进度。当履约进度不能合理确定时，已经发生的成本预计能够得到补偿的，本公司按照已经发生的成本金额确认收入，直到履约进度能够合理确定为止。</w:t>
      </w:r>
    </w:p>
    <w:p w14:paraId="11CEA37A">
      <w:pPr>
        <w:pStyle w:val="4"/>
        <w:keepNext w:val="0"/>
        <w:keepLines w:val="0"/>
        <w:widowControl/>
        <w:suppressLineNumbers w:val="0"/>
        <w:spacing w:before="155"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2.收入确认的具体方法</w:t>
      </w:r>
    </w:p>
    <w:p w14:paraId="0932698C">
      <w:pPr>
        <w:pStyle w:val="4"/>
        <w:keepNext w:val="0"/>
        <w:keepLines w:val="0"/>
        <w:widowControl/>
        <w:suppressLineNumbers w:val="0"/>
        <w:spacing w:before="6"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42B60DD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公司生产和销售医药制品，依据公司自身的经营模式和结算方式，公司医药制品销售业务属于在某一时点履行的履约义务，在客户签收、已收取价款或取得收款权利且相关的经济利益很可能流入时确认收入。</w:t>
      </w:r>
    </w:p>
    <w:p w14:paraId="6B0995C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公司提供药物工艺研发等技术服务，如原料药、制剂工艺的开发及质量研究，按照业务区分不同收入确认，具体为：</w:t>
      </w:r>
    </w:p>
    <w:p w14:paraId="2DEF051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①一次性交付技术服务成果的项目</w:t>
      </w:r>
    </w:p>
    <w:p w14:paraId="6510DD6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对于研发周期较短(研发周期短于三个月)或不能拆分出形象进度节点的技术服务项目，在项目完成后向客户交付研发成果（化合物或试验报告），并取得客户确认/签收后，一次性确认收入。</w:t>
      </w:r>
    </w:p>
    <w:p w14:paraId="6605EB4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②按里程碑交付成果的技术服务项目</w:t>
      </w:r>
    </w:p>
    <w:p w14:paraId="4616345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对于金额较大且研发周期较长的技术服务项目，在项目达到某一里程碑时，于资产负债表日按照提供劳务收入总额乘以履约进度扣除以前会计期间累计已确认提供劳务收入后的金额，确认当期提供劳务的收入。</w:t>
      </w:r>
    </w:p>
    <w:p w14:paraId="4C369378">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3.特定交易的收入处理原则</w:t>
      </w:r>
    </w:p>
    <w:p w14:paraId="49D8078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附有客户额外购买选择权的销售合同</w:t>
      </w:r>
    </w:p>
    <w:p w14:paraId="720E2C0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公司评估该选择权是否向客户提供了一项重大权利。提供重大权利的，则作为单项履约义务，将交易价格分摊至该履约义务，在客户未来行使购买选择权取得相关商品控制权时，或者该选择权失效时，确认相应的收入。客户额外购买选择权的单独售价无法直接观察的，则综合考虑客户行使和不行使该选择权所能获得的折扣的差异、客户行使该选择权的可能性等全部相关信息后，予以合理估计。</w:t>
      </w:r>
    </w:p>
    <w:p w14:paraId="4D71FF0E">
      <w:pPr>
        <w:pStyle w:val="4"/>
        <w:keepNext w:val="0"/>
        <w:keepLines w:val="0"/>
        <w:widowControl/>
        <w:suppressLineNumbers w:val="0"/>
        <w:spacing w:before="100" w:beforeAutospacing="0" w:after="100" w:afterAutospacing="0" w:line="240" w:lineRule="atLeast"/>
        <w:ind w:left="0" w:right="0"/>
        <w:jc w:val="left"/>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rPr>
        <w:t> </w:t>
      </w:r>
    </w:p>
    <w:p w14:paraId="4A2FB09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同类业务采用不同经营模式涉及不同收入确认方式及计量方法的情况</w:t>
      </w:r>
    </w:p>
    <w:p w14:paraId="592CA771">
      <w:pPr>
        <w:keepNext/>
        <w:keepLines/>
        <w:spacing w:before="300" w:after="300" w:line="280" w:lineRule="exact"/>
        <w:jc w:val="left"/>
        <w:outlineLvl w:val="2"/>
        <w:rPr>
          <w:rFonts w:ascii="宋体" w:hAnsi="宋体" w:eastAsia="宋体" w:cs="宋体"/>
          <w:b/>
          <w:bCs/>
          <w:color w:val="auto"/>
          <w:sz w:val="21"/>
          <w:szCs w:val="21"/>
        </w:rPr>
      </w:pPr>
      <w:bookmarkStart w:id="61" w:name="_Toc989037"/>
      <w:r>
        <w:rPr>
          <w:rFonts w:ascii="宋体" w:hAnsi="宋体" w:eastAsia="宋体" w:cs="宋体"/>
          <w:b/>
          <w:bCs/>
          <w:color w:val="auto"/>
          <w:sz w:val="21"/>
          <w:szCs w:val="21"/>
        </w:rPr>
        <w:t>38、合同成本</w:t>
      </w:r>
      <w:bookmarkEnd w:id="61"/>
    </w:p>
    <w:p w14:paraId="20B23D22">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1.合同履约成本</w:t>
      </w:r>
    </w:p>
    <w:p w14:paraId="3409EC0F">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2ACFC9E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本公司对于为履行合同发生的成本，不属于除收入准则外的其他企业会计准则范围且同时满足下列条件的作为合同履约成本确认为一项资产：</w:t>
      </w:r>
    </w:p>
    <w:p w14:paraId="61965DD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（1）该成本与一份当前或预期取得的合同直接相关，包括直接人工、直接材料、制造费用（或类似费用）、明确由客户承担的成本以及仅因该合同而发生的其他成本；</w:t>
      </w:r>
    </w:p>
    <w:p w14:paraId="51EEBBD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（2）该成本增加了企业未来用于履行履约义务的资源；</w:t>
      </w:r>
    </w:p>
    <w:p w14:paraId="6FE72B6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（3）该成本预期能够收回。</w:t>
      </w:r>
    </w:p>
    <w:p w14:paraId="494BB6D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该资产根据其初始确认时摊销期限是否超过一个正常营业周期在存货或其他非流动资产中列报。</w:t>
      </w:r>
    </w:p>
    <w:p w14:paraId="1994F4A2">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2.合同取得成本</w:t>
      </w:r>
    </w:p>
    <w:p w14:paraId="01D3E4B1">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65E455D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本公司为取得合同发生的增量成本预期能够收回的，作为合同取得成本确认为一项资产。增量成本是指本公司不取得合同就不会发生的成本，如销售佣金等。对于摊销期限不超过一年的，在发生时计入当期损益。</w:t>
      </w:r>
    </w:p>
    <w:p w14:paraId="44D17660">
      <w:pPr>
        <w:pStyle w:val="4"/>
        <w:keepNext w:val="0"/>
        <w:keepLines w:val="0"/>
        <w:widowControl/>
        <w:suppressLineNumbers w:val="0"/>
        <w:spacing w:before="71"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3.合同成本摊销</w:t>
      </w:r>
    </w:p>
    <w:p w14:paraId="666BAB4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上述与合同成本有关的资产，采用与该资产相关的商品或服务收入确认相同的基础，在履约义务履行的时点或按照履约义务的履约进度进行摊销，计入当期损益。</w:t>
      </w:r>
    </w:p>
    <w:p w14:paraId="7EE6A03F">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1"/>
          <w:sz w:val="21"/>
          <w:szCs w:val="21"/>
        </w:rPr>
        <w:t>4.合同成本减值</w:t>
      </w:r>
    </w:p>
    <w:p w14:paraId="0A98AE1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上述与合同成本有关的资产，账面价值高于本公司因转让与该资产相关的商品预期能够取得剩余对价与为转让该相关商品估计将要发生的成本的差额的，超出部分应当计提减值准备，并确认为资产减值损失。</w:t>
      </w:r>
    </w:p>
    <w:p w14:paraId="00B18B4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计提减值准备后，如果以前期间减值的因素发生变化，使得上述两项差额高于该资产账面价值的，转回原已计提的资产减值准备，并计入当期损益，但转回后的资产账面价值不超过假定不计提减值准备情况下该资产在转回日的账面价值。</w:t>
      </w:r>
    </w:p>
    <w:p w14:paraId="09606986">
      <w:pPr>
        <w:keepNext/>
        <w:keepLines/>
        <w:spacing w:before="300" w:after="300" w:line="280" w:lineRule="exact"/>
        <w:jc w:val="left"/>
        <w:outlineLvl w:val="2"/>
        <w:rPr>
          <w:rFonts w:ascii="宋体" w:hAnsi="宋体" w:eastAsia="宋体" w:cs="宋体"/>
          <w:b/>
          <w:bCs/>
          <w:color w:val="auto"/>
          <w:sz w:val="21"/>
          <w:szCs w:val="21"/>
        </w:rPr>
      </w:pPr>
      <w:bookmarkStart w:id="62" w:name="_Toc989038"/>
      <w:r>
        <w:rPr>
          <w:rFonts w:ascii="宋体" w:hAnsi="宋体" w:eastAsia="宋体" w:cs="宋体"/>
          <w:b/>
          <w:bCs/>
          <w:color w:val="auto"/>
          <w:sz w:val="21"/>
          <w:szCs w:val="21"/>
        </w:rPr>
        <w:t>39、政府补助</w:t>
      </w:r>
      <w:bookmarkEnd w:id="62"/>
    </w:p>
    <w:p w14:paraId="0872D6FF">
      <w:pPr>
        <w:pStyle w:val="4"/>
        <w:keepNext w:val="0"/>
        <w:keepLines w:val="0"/>
        <w:widowControl/>
        <w:suppressLineNumbers w:val="0"/>
        <w:spacing w:before="1"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1.类型</w:t>
      </w:r>
    </w:p>
    <w:p w14:paraId="7566079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政府补助，是本公司从政府无偿取得的货币性资产与非货币性资产。政府补助分为与资产相关的政府补助和与收益相关的政府补助。</w:t>
      </w:r>
    </w:p>
    <w:p w14:paraId="2DD5277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根据相关政府文件规定的补助对象，将政府补助划分为与资产相关的政府补助和与收益相关的政府补助。与资产相关的政府补助，是指本公司取得的、用于购建或以其他方式形成长期资产的政府补助。与收益相关的政府补助，是指除与资产相关的政府补助之外的政府补助。</w:t>
      </w:r>
    </w:p>
    <w:p w14:paraId="5DF5B260">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2.政府补助的确认</w:t>
      </w:r>
    </w:p>
    <w:p w14:paraId="22EFED2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对期末有证据表明公司能够符合财政扶持政策规定的相关条件且预计能够收到财政扶持资金的，按应收金额确认政府补助。除此之外，政府补助均在实际收到时确认。</w:t>
      </w:r>
    </w:p>
    <w:p w14:paraId="12FE8AB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政府补助为货币性资产的，按照收到或应收的金额计量。政府补助为非货币性资产的，按照公允价值计量；公允价值不能够可靠取得的，按照名义金额（人民币1元）计量。按照名义金额计量的政府补助，直接计入当期损益。</w:t>
      </w:r>
    </w:p>
    <w:p w14:paraId="7A18DEED">
      <w:pPr>
        <w:pStyle w:val="4"/>
        <w:keepNext w:val="0"/>
        <w:keepLines w:val="0"/>
        <w:widowControl/>
        <w:suppressLineNumbers w:val="0"/>
        <w:spacing w:before="155"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z w:val="21"/>
          <w:szCs w:val="21"/>
        </w:rPr>
        <w:t>3.会计处理方法</w:t>
      </w:r>
    </w:p>
    <w:p w14:paraId="2FEFA18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本公司根据经济业务的实质，确定某一类政府补助业务应当采用总额法还是净额法进行会计处理。通常情况下，本公司对于同类或类似政府补助业务只选用一种方法，且对该业务一贯地运用该方法。</w:t>
      </w:r>
    </w:p>
    <w:tbl>
      <w:tblPr>
        <w:tblStyle w:val="5"/>
        <w:tblW w:w="876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4380"/>
        <w:gridCol w:w="4380"/>
      </w:tblGrid>
      <w:tr w14:paraId="03732E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c>
          <w:tcPr>
            <w:tcW w:w="438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38327B9">
            <w:pPr>
              <w:pStyle w:val="4"/>
              <w:keepNext w:val="0"/>
              <w:keepLines w:val="0"/>
              <w:widowControl/>
              <w:suppressLineNumbers w:val="0"/>
              <w:spacing w:before="71" w:beforeAutospacing="0" w:after="0" w:afterAutospacing="0" w:line="412" w:lineRule="auto"/>
              <w:ind w:left="0" w:right="309"/>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项目</w:t>
            </w:r>
          </w:p>
        </w:tc>
        <w:tc>
          <w:tcPr>
            <w:tcW w:w="438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0BD4F3F">
            <w:pPr>
              <w:pStyle w:val="4"/>
              <w:keepNext w:val="0"/>
              <w:keepLines w:val="0"/>
              <w:widowControl/>
              <w:suppressLineNumbers w:val="0"/>
              <w:spacing w:before="71" w:beforeAutospacing="0" w:after="0" w:afterAutospacing="0" w:line="412" w:lineRule="auto"/>
              <w:ind w:left="0" w:right="309"/>
              <w:jc w:val="center"/>
              <w:rPr>
                <w:rFonts w:hint="default" w:ascii="Times New Roman" w:hAnsi="Times New Roman" w:cs="Times New Roman"/>
                <w:color w:val="auto"/>
                <w:sz w:val="24"/>
                <w:szCs w:val="24"/>
              </w:rPr>
            </w:pPr>
            <w:r>
              <w:rPr>
                <w:rFonts w:hint="eastAsia" w:ascii="宋体" w:hAnsi="宋体" w:eastAsia="宋体" w:cs="宋体"/>
                <w:color w:val="auto"/>
                <w:sz w:val="18"/>
                <w:szCs w:val="18"/>
              </w:rPr>
              <w:t>核算内容</w:t>
            </w:r>
          </w:p>
        </w:tc>
      </w:tr>
      <w:tr w14:paraId="5E3A02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43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43076CBF">
            <w:pPr>
              <w:pStyle w:val="4"/>
              <w:keepNext w:val="0"/>
              <w:keepLines w:val="0"/>
              <w:widowControl/>
              <w:suppressLineNumbers w:val="0"/>
              <w:spacing w:before="71" w:beforeAutospacing="0" w:after="0" w:afterAutospacing="0" w:line="412" w:lineRule="auto"/>
              <w:ind w:left="0" w:right="309"/>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采用总额法核算的政府补助类别</w:t>
            </w:r>
          </w:p>
        </w:tc>
        <w:tc>
          <w:tcPr>
            <w:tcW w:w="438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E80816C">
            <w:pPr>
              <w:pStyle w:val="4"/>
              <w:keepNext w:val="0"/>
              <w:keepLines w:val="0"/>
              <w:widowControl/>
              <w:suppressLineNumbers w:val="0"/>
              <w:spacing w:before="71" w:beforeAutospacing="0" w:after="0" w:afterAutospacing="0" w:line="412" w:lineRule="auto"/>
              <w:ind w:left="0" w:right="309"/>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与资产相关和与收益相关</w:t>
            </w:r>
          </w:p>
        </w:tc>
      </w:tr>
      <w:tr w14:paraId="260EE07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438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558C1C99">
            <w:pPr>
              <w:pStyle w:val="4"/>
              <w:keepNext w:val="0"/>
              <w:keepLines w:val="0"/>
              <w:widowControl/>
              <w:suppressLineNumbers w:val="0"/>
              <w:spacing w:before="71" w:beforeAutospacing="0" w:after="0" w:afterAutospacing="0" w:line="412" w:lineRule="auto"/>
              <w:ind w:left="0" w:right="309"/>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采用净额法核算的政府补助类别</w:t>
            </w:r>
          </w:p>
        </w:tc>
        <w:tc>
          <w:tcPr>
            <w:tcW w:w="438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2CC99ED">
            <w:pPr>
              <w:pStyle w:val="4"/>
              <w:keepNext w:val="0"/>
              <w:keepLines w:val="0"/>
              <w:widowControl/>
              <w:suppressLineNumbers w:val="0"/>
              <w:spacing w:before="71" w:beforeAutospacing="0" w:after="0" w:afterAutospacing="0" w:line="412" w:lineRule="auto"/>
              <w:ind w:left="0" w:right="309"/>
              <w:jc w:val="left"/>
              <w:rPr>
                <w:rFonts w:hint="default" w:ascii="Times New Roman" w:hAnsi="Times New Roman" w:cs="Times New Roman"/>
                <w:color w:val="auto"/>
                <w:sz w:val="24"/>
                <w:szCs w:val="24"/>
              </w:rPr>
            </w:pPr>
            <w:r>
              <w:rPr>
                <w:rFonts w:hint="eastAsia" w:ascii="宋体" w:hAnsi="宋体" w:eastAsia="宋体" w:cs="宋体"/>
                <w:color w:val="auto"/>
                <w:sz w:val="18"/>
                <w:szCs w:val="18"/>
              </w:rPr>
              <w:t>无</w:t>
            </w:r>
          </w:p>
        </w:tc>
      </w:tr>
    </w:tbl>
    <w:p w14:paraId="6D84A8C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与资产相关的政府补助，应当冲减相关资产的账面价值或确认为递延收益。与资产相关的政府补助确认为递延收益的，在所建造或购买资产使用寿命内按照合理、系统的方法分期计入损益。</w:t>
      </w:r>
    </w:p>
    <w:p w14:paraId="43BFBC0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与收益相关的政府补助，用于补偿企业以后期间的相关费用或损失的，确认为递延收益，在确认相关费用或损失的期间计入当期损益或冲减相关成本；用于补偿企业已发生的相关费用或损失的，取得时直接计入当期损益或冲减相关成本。</w:t>
      </w:r>
    </w:p>
    <w:p w14:paraId="7E5847D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与企业日常活动相关的政府补助计入其他收益或冲减相关成本费用；与企业日常活动无关的政府补助计入营业外收支。</w:t>
      </w:r>
    </w:p>
    <w:p w14:paraId="75EB419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收到与政策性优惠贷款贴息相关的政府补助冲减相关借款费用；取得贷款银行提供的政策性优惠利率贷款的，以实际收到的借款金额作为借款的入账价值，按照借款本金和该政策性优惠利率计算相关借款费用。</w:t>
      </w:r>
    </w:p>
    <w:p w14:paraId="53C7DDD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已确认的政府补助需要返还时，初始确认时冲减相关资产账面价值的，调整资产账面价值；存在相关递延收益余额的，冲减相关递延收益账面余额，超出部分计入当期损益；不存在相关递延收益的，直接计入当期损益。</w:t>
      </w:r>
    </w:p>
    <w:p w14:paraId="4B33F6A9">
      <w:pPr>
        <w:keepNext/>
        <w:keepLines/>
        <w:spacing w:before="300" w:after="300" w:line="280" w:lineRule="exact"/>
        <w:jc w:val="left"/>
        <w:outlineLvl w:val="2"/>
        <w:rPr>
          <w:rFonts w:ascii="宋体" w:hAnsi="宋体" w:eastAsia="宋体" w:cs="宋体"/>
          <w:b/>
          <w:bCs/>
          <w:color w:val="auto"/>
          <w:sz w:val="21"/>
          <w:szCs w:val="21"/>
        </w:rPr>
      </w:pPr>
      <w:bookmarkStart w:id="63" w:name="_Toc989039"/>
      <w:r>
        <w:rPr>
          <w:rFonts w:ascii="宋体" w:hAnsi="宋体" w:eastAsia="宋体" w:cs="宋体"/>
          <w:b/>
          <w:bCs/>
          <w:color w:val="auto"/>
          <w:sz w:val="21"/>
          <w:szCs w:val="21"/>
        </w:rPr>
        <w:t>40、递延所得税资产/递延所得税负债</w:t>
      </w:r>
      <w:bookmarkEnd w:id="63"/>
    </w:p>
    <w:p w14:paraId="31E6C40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递延所得税资产和递延所得税负债根据资产和负债的计税基础与其账面价值的差额(暂时性差异)计算确认。于资产负债表日，递延所得税资产和递延所得税负债，按照预期收回该资产或清偿该负债期间的适用税率计量。</w:t>
      </w:r>
    </w:p>
    <w:p w14:paraId="2F78F8FB">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1.确认递延所得税资产的依据</w:t>
      </w:r>
    </w:p>
    <w:p w14:paraId="048CB7C6">
      <w:pPr>
        <w:pStyle w:val="4"/>
        <w:keepNext w:val="0"/>
        <w:keepLines w:val="0"/>
        <w:widowControl/>
        <w:suppressLineNumbers w:val="0"/>
        <w:spacing w:before="6"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7E90557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以很可能取得用来抵扣可抵扣暂时性差异、能够结转以后年度的可抵扣亏损和税款抵减的应纳税所得额为限，确认由可抵扣暂时性差异产生的递延所得税资产。但是，同时具有下列特征的交易中因资产或负债的初始确认所产生的递延所得税资产不予确认：（1）该交易不是企业合并；（2）交易发生时既不影响会计利润也不影响应纳税所得额或可抵扣亏损。</w:t>
      </w:r>
    </w:p>
    <w:p w14:paraId="6F51A1F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对于与联营企业投资相关的可抵扣暂时性差异，同时满足下列条件的，确认相应的递延所得税资产：暂时性差异在可预见的未来很可能转回，且未来很可能获得用来抵扣可抵扣暂时性差异的应纳税所得额。</w:t>
      </w:r>
    </w:p>
    <w:p w14:paraId="5FBF30D2">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2.确认递延所得税负债的依据</w:t>
      </w:r>
    </w:p>
    <w:p w14:paraId="22EDE2AF">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5A9F995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公司将当期与以前期间应交未交的应纳税暂时性差异确认为递延所得税负债。但不包括：</w:t>
      </w:r>
    </w:p>
    <w:p w14:paraId="18EBE08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（1）商誉的初始确认所形成的暂时性差异；</w:t>
      </w:r>
    </w:p>
    <w:p w14:paraId="1311E78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（2）非企业合并形成的交易或事项，且该交易或事项发生时既不影响会计利润，也不影响应纳税所得额（或可抵扣亏损）所形成的暂时性差异；</w:t>
      </w:r>
    </w:p>
    <w:p w14:paraId="2D9DFCD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（3）对于与子公司、联营企业投资相关的应纳税暂时性差异，该暂时性差异转回的时间能够控制并且该暂时性差异在可预见的未来很可能不会转回。</w:t>
      </w:r>
    </w:p>
    <w:p w14:paraId="6BD9F897">
      <w:pPr>
        <w:pStyle w:val="4"/>
        <w:keepNext w:val="0"/>
        <w:keepLines w:val="0"/>
        <w:widowControl/>
        <w:suppressLineNumbers w:val="0"/>
        <w:spacing w:before="156"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3"/>
          <w:sz w:val="21"/>
          <w:szCs w:val="21"/>
        </w:rPr>
        <w:t>3.同时满足下列条件时，将递延所得税资产及递延所得税负债以抵销后的净额列示</w:t>
      </w:r>
    </w:p>
    <w:p w14:paraId="68F158B0">
      <w:pPr>
        <w:pStyle w:val="4"/>
        <w:keepNext w:val="0"/>
        <w:keepLines w:val="0"/>
        <w:widowControl/>
        <w:suppressLineNumbers w:val="0"/>
        <w:spacing w:before="7" w:beforeAutospacing="0" w:after="0" w:afterAutospacing="0"/>
        <w:ind w:left="0" w:right="0"/>
        <w:jc w:val="left"/>
        <w:rPr>
          <w:rFonts w:hint="default" w:ascii="Times New Roman" w:hAnsi="Times New Roman" w:cs="Times New Roman"/>
          <w:color w:val="auto"/>
          <w:sz w:val="24"/>
          <w:szCs w:val="24"/>
        </w:rPr>
      </w:pPr>
      <w:r>
        <w:rPr>
          <w:rFonts w:hint="eastAsia" w:ascii="宋体" w:hAnsi="宋体" w:eastAsia="宋体" w:cs="宋体"/>
          <w:b/>
          <w:bCs/>
          <w:color w:val="auto"/>
          <w:sz w:val="15"/>
          <w:szCs w:val="15"/>
        </w:rPr>
        <w:t> </w:t>
      </w:r>
    </w:p>
    <w:p w14:paraId="478A8C4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（1）企业拥有以净额结算当期所得税资产及当期所得税负债的法定权利；</w:t>
      </w:r>
    </w:p>
    <w:p w14:paraId="24C2938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递延所得税资产和递延所得税负债是与同一税收征管部门对同一纳税主体征收的所得税相关或者对不同的纳税主体相关，但在未来每一具有重要性的递延所得税资产和递延所得税负债转回的期间内，涉及的纳税主体意图以净额结算当期所得税资产及当期所得税负债或是同时取得资产、清偿债务。</w:t>
      </w:r>
    </w:p>
    <w:p w14:paraId="0E55A867">
      <w:pPr>
        <w:keepNext/>
        <w:keepLines/>
        <w:spacing w:before="300" w:after="300" w:line="280" w:lineRule="exact"/>
        <w:jc w:val="left"/>
        <w:outlineLvl w:val="2"/>
        <w:rPr>
          <w:rFonts w:ascii="宋体" w:hAnsi="宋体" w:eastAsia="宋体" w:cs="宋体"/>
          <w:b/>
          <w:bCs/>
          <w:color w:val="auto"/>
          <w:sz w:val="21"/>
          <w:szCs w:val="21"/>
        </w:rPr>
      </w:pPr>
      <w:bookmarkStart w:id="64" w:name="_Toc989040"/>
      <w:r>
        <w:rPr>
          <w:rFonts w:ascii="宋体" w:hAnsi="宋体" w:eastAsia="宋体" w:cs="宋体"/>
          <w:b/>
          <w:bCs/>
          <w:color w:val="auto"/>
          <w:sz w:val="21"/>
          <w:szCs w:val="21"/>
        </w:rPr>
        <w:t>41、租赁</w:t>
      </w:r>
      <w:bookmarkEnd w:id="64"/>
    </w:p>
    <w:p w14:paraId="496B6507">
      <w:pPr>
        <w:keepNext/>
        <w:keepLines/>
        <w:spacing w:before="300" w:after="300" w:line="280" w:lineRule="exact"/>
        <w:jc w:val="left"/>
        <w:outlineLvl w:val="3"/>
        <w:rPr>
          <w:rFonts w:ascii="宋体" w:hAnsi="宋体" w:eastAsia="宋体" w:cs="宋体"/>
          <w:b/>
          <w:bCs/>
          <w:color w:val="auto"/>
          <w:sz w:val="21"/>
          <w:szCs w:val="21"/>
        </w:rPr>
      </w:pPr>
      <w:bookmarkStart w:id="65" w:name="_Toc989041"/>
      <w:r>
        <w:rPr>
          <w:rFonts w:ascii="宋体" w:hAnsi="宋体" w:eastAsia="宋体" w:cs="宋体"/>
          <w:b/>
          <w:bCs/>
          <w:color w:val="auto"/>
          <w:sz w:val="21"/>
          <w:szCs w:val="21"/>
        </w:rPr>
        <w:t>（1）作为承租方租赁的会计处理方法</w:t>
      </w:r>
      <w:bookmarkEnd w:id="65"/>
    </w:p>
    <w:p w14:paraId="2D5A0320">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在合同开始日，本公司评估合同是否为租赁或者包含租赁。如果合同中一方让渡了在一定期间内控制一项或多项已识别资产使用的权利以换取对价，则该合同为租赁或者包含租赁。</w:t>
      </w:r>
    </w:p>
    <w:p w14:paraId="3C49EB5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b/>
          <w:bCs/>
          <w:color w:val="auto"/>
          <w:sz w:val="21"/>
          <w:szCs w:val="21"/>
        </w:rPr>
        <w:t>1.租赁合同的分拆</w:t>
      </w:r>
    </w:p>
    <w:p w14:paraId="766924C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当合同中同时包含多项单独租赁的，本公司将合同予以分拆，并分别各项单独租赁进行会计处理。当合同中同时包含租赁和非租赁部分的，本公司将租赁和非租赁部分进行分拆，租赁部分按照租赁准则进行会计处理，非租赁部分应当按照其他适用的企业会计准则进行会计处理。</w:t>
      </w:r>
    </w:p>
    <w:p w14:paraId="46A0868F">
      <w:pPr>
        <w:pStyle w:val="4"/>
        <w:keepNext w:val="0"/>
        <w:keepLines w:val="0"/>
        <w:widowControl/>
        <w:suppressLineNumbers w:val="0"/>
        <w:spacing w:before="156" w:beforeAutospacing="0" w:after="0" w:afterAutospacing="0" w:line="360" w:lineRule="auto"/>
        <w:ind w:left="420" w:right="0"/>
        <w:jc w:val="both"/>
        <w:rPr>
          <w:rFonts w:hint="default" w:ascii="Times New Roman" w:hAnsi="Times New Roman" w:cs="Times New Roman"/>
          <w:color w:val="auto"/>
          <w:sz w:val="24"/>
          <w:szCs w:val="24"/>
        </w:rPr>
      </w:pPr>
      <w:r>
        <w:rPr>
          <w:rFonts w:hint="eastAsia" w:ascii="宋体" w:hAnsi="宋体" w:eastAsia="宋体" w:cs="宋体"/>
          <w:b/>
          <w:bCs/>
          <w:color w:val="auto"/>
          <w:sz w:val="21"/>
          <w:szCs w:val="21"/>
        </w:rPr>
        <w:t>2.租赁合同的合并</w:t>
      </w:r>
      <w:r>
        <w:rPr>
          <w:rFonts w:hint="eastAsia" w:ascii="宋体" w:hAnsi="宋体" w:eastAsia="宋体" w:cs="宋体"/>
          <w:color w:val="auto"/>
          <w:sz w:val="21"/>
          <w:szCs w:val="21"/>
        </w:rPr>
        <w:t>本公司与同一交易方或其关联方在同一时间或相近时间订立的两份或多份包含租赁的合同符合下列条件之一时，合并为一份合同进行会计处理：</w:t>
      </w:r>
    </w:p>
    <w:p w14:paraId="3D5D4DD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（1）该两份或多份合同基于总体商业目的而订立并构成一揽子交易，若不作为整体考虑则无法理解其总体商业目的。</w:t>
      </w:r>
    </w:p>
    <w:p w14:paraId="500743A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（2）该两份或多份合同中的某份合同的对价金额取决于其他合同的定价或履行情况。</w:t>
      </w:r>
    </w:p>
    <w:p w14:paraId="5609351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（3）该两份或多份合同让渡的资产使用权合起来构成一项单独租赁。</w:t>
      </w:r>
    </w:p>
    <w:p w14:paraId="6EB0A55B">
      <w:pPr>
        <w:pStyle w:val="4"/>
        <w:keepNext w:val="0"/>
        <w:keepLines w:val="0"/>
        <w:widowControl/>
        <w:suppressLineNumbers w:val="0"/>
        <w:spacing w:before="0" w:beforeAutospacing="0" w:after="0" w:afterAutospacing="0"/>
        <w:ind w:left="559" w:right="0"/>
        <w:jc w:val="left"/>
        <w:rPr>
          <w:rFonts w:hint="default" w:ascii="Times New Roman" w:hAnsi="Times New Roman" w:cs="Times New Roman"/>
          <w:color w:val="auto"/>
          <w:sz w:val="24"/>
          <w:szCs w:val="24"/>
        </w:rPr>
      </w:pPr>
      <w:r>
        <w:rPr>
          <w:rFonts w:hint="eastAsia" w:ascii="宋体" w:hAnsi="宋体" w:eastAsia="宋体" w:cs="宋体"/>
          <w:b/>
          <w:bCs/>
          <w:color w:val="auto"/>
          <w:spacing w:val="-2"/>
          <w:sz w:val="21"/>
          <w:szCs w:val="21"/>
        </w:rPr>
        <w:t>3.本公司作为承租人的会计处理</w:t>
      </w:r>
    </w:p>
    <w:p w14:paraId="3457085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在租赁期开始日，除应用简化处理的短期租赁和低价值资产租赁外，本公司对租赁确认使用权资产和租赁负债。</w:t>
      </w:r>
    </w:p>
    <w:p w14:paraId="4509F02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短期租赁是指不包含购买选择权且租赁期不超过12个月的租赁。低价值资产租赁是指单项租赁资产为全新资产时价值较低的租赁。</w:t>
      </w:r>
    </w:p>
    <w:p w14:paraId="2EF6A292">
      <w:pPr>
        <w:keepNext/>
        <w:keepLines/>
        <w:spacing w:before="300" w:after="300" w:line="280" w:lineRule="exact"/>
        <w:jc w:val="left"/>
        <w:outlineLvl w:val="3"/>
        <w:rPr>
          <w:rFonts w:ascii="宋体" w:hAnsi="宋体" w:eastAsia="宋体" w:cs="宋体"/>
          <w:b/>
          <w:bCs/>
          <w:color w:val="auto"/>
          <w:sz w:val="21"/>
          <w:szCs w:val="21"/>
        </w:rPr>
      </w:pPr>
      <w:bookmarkStart w:id="66" w:name="_Toc989042"/>
      <w:r>
        <w:rPr>
          <w:rFonts w:ascii="宋体" w:hAnsi="宋体" w:eastAsia="宋体" w:cs="宋体"/>
          <w:b/>
          <w:bCs/>
          <w:color w:val="auto"/>
          <w:sz w:val="21"/>
          <w:szCs w:val="21"/>
        </w:rPr>
        <w:t>（2）作为出租方租赁的会计处理方法</w:t>
      </w:r>
      <w:bookmarkEnd w:id="66"/>
    </w:p>
    <w:p w14:paraId="2BAEDE1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（1）租赁的分类</w:t>
      </w:r>
    </w:p>
    <w:p w14:paraId="5236F86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租赁开始日将租赁分为融资租赁和经营租赁。融资租赁是指实质上转移了与租赁资产所有权有关的几乎全部风险和报酬的租赁，其所有权最终可能转移，也可能不转移。经营租赁是指除融资租赁以外的其他租赁。</w:t>
      </w:r>
    </w:p>
    <w:p w14:paraId="5068C06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一项租赁存在下列一种或多种情形的，本公司通常分类为融资租赁：</w:t>
      </w:r>
    </w:p>
    <w:p w14:paraId="6A88307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1）在租赁期届满时，租赁资产的所有权转移给承租人。</w:t>
      </w:r>
    </w:p>
    <w:p w14:paraId="6F90B142">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2）承租人有购买租赁资产的选择权，所订立的购买价款与预计行使选择权时租赁资产的公允价值相比足够低，因而在租赁开始日就可以合理确定承租人将行使该选择权。</w:t>
      </w:r>
    </w:p>
    <w:p w14:paraId="64D3F26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3）资产的所有权虽然不转移，但租赁期占租赁资产使用寿命的大部分。</w:t>
      </w:r>
    </w:p>
    <w:p w14:paraId="0E64BDA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4）在租赁开始日，租赁收款额的现值几乎相当于租赁资产的公允价值。</w:t>
      </w:r>
    </w:p>
    <w:p w14:paraId="54C77B4F">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5）租赁资产性质特殊，如果不作较大改造，只有承租人才能使用。</w:t>
      </w:r>
    </w:p>
    <w:p w14:paraId="168508D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一项租赁存在下列一项或多项迹象的，本公司也可能分类为融资租赁：</w:t>
      </w:r>
    </w:p>
    <w:p w14:paraId="14A2F7D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1）若承租人撤销租赁，撤销租赁对出租人造成的损失由承租人承担。</w:t>
      </w:r>
    </w:p>
    <w:p w14:paraId="0C5A06C7">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2）资产余值的公允价值波动所产生的利得或损失归属于承租人。</w:t>
      </w:r>
    </w:p>
    <w:p w14:paraId="05FD9294">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3）承租人有能力以远低于市场水平的租金继续租赁至下一期间。</w:t>
      </w:r>
    </w:p>
    <w:p w14:paraId="5AF3C20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（2）对融资租赁的会计处理</w:t>
      </w:r>
    </w:p>
    <w:p w14:paraId="0E00D28C">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在租赁期开始日，本公司对融资租赁确认应收融资租赁款，并终止确认融资租赁资产。应收融资租赁款初始计量时，以未担保余值和租赁期开始日尚未收到的租赁收款额按照</w:t>
      </w:r>
    </w:p>
    <w:p w14:paraId="67A1CFE1">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租赁内含利率折现的现值之和作为应收融资租赁款的入账价值。租赁收款额包括：</w:t>
      </w:r>
    </w:p>
    <w:p w14:paraId="2FC39B4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1）扣除租赁激励相关金额后的固定付款额及实质固定付款额；</w:t>
      </w:r>
    </w:p>
    <w:p w14:paraId="2BF6A5E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2）取决于指数或比率的可变租赁付款额；</w:t>
      </w:r>
    </w:p>
    <w:p w14:paraId="16E8A1AE">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3）合理确定承租人将行使购买选择权的情况下，租赁收款额包括购买选择权的行权价格；</w:t>
      </w:r>
    </w:p>
    <w:p w14:paraId="10EBF8B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4）租赁期反映出承租人将行使终止租赁选择权的情况下，租赁收款额包括承租人行使终止租赁选择权需支付的款项；</w:t>
      </w:r>
    </w:p>
    <w:p w14:paraId="6F4CBEB5">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5）由承租人、与承租人有关的一方以及有经济能力履行担保义务的独立第三方向出租人提供的担保余值。</w:t>
      </w:r>
    </w:p>
    <w:p w14:paraId="1CB09AF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本公司按照固定的租赁内含利率计算并确认租赁期内各个期间的利息收入，所取得的未纳入租赁投资净额计量的可变租赁付款额在实际发生时计入当期损益。</w:t>
      </w:r>
    </w:p>
    <w:p w14:paraId="18A58F43">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（3）对经营租赁的会计处理</w:t>
      </w:r>
    </w:p>
    <w:p w14:paraId="549B8E79">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在租赁期内各个期间采用直线法或其他系统合理的方法，将经营租赁的租赁收款额确认为租金收入；发生的与经营租赁有关的初始直接费用资本化，在租赁期内按照与租金收入确认相同的基础进行分摊，分期计入当期损益；取得的与经营租赁有关的未计入租赁收款额的可变租赁付款额，在实际发生时计入当期损益。</w:t>
      </w:r>
    </w:p>
    <w:p w14:paraId="1968477E">
      <w:pPr>
        <w:keepNext/>
        <w:keepLines/>
        <w:spacing w:before="300" w:after="300" w:line="280" w:lineRule="exact"/>
        <w:jc w:val="left"/>
        <w:outlineLvl w:val="2"/>
        <w:rPr>
          <w:rFonts w:ascii="宋体" w:hAnsi="宋体" w:eastAsia="宋体" w:cs="宋体"/>
          <w:b/>
          <w:bCs/>
          <w:color w:val="auto"/>
          <w:sz w:val="21"/>
          <w:szCs w:val="21"/>
        </w:rPr>
      </w:pPr>
      <w:bookmarkStart w:id="67" w:name="_Toc989043"/>
      <w:r>
        <w:rPr>
          <w:rFonts w:ascii="宋体" w:hAnsi="宋体" w:eastAsia="宋体" w:cs="宋体"/>
          <w:b/>
          <w:bCs/>
          <w:color w:val="auto"/>
          <w:sz w:val="21"/>
          <w:szCs w:val="21"/>
        </w:rPr>
        <w:t>42、其他重要的会计政策和会计估计</w:t>
      </w:r>
      <w:bookmarkEnd w:id="67"/>
    </w:p>
    <w:p w14:paraId="6BA6D0AE">
      <w:pPr>
        <w:keepNext/>
        <w:keepLines/>
        <w:spacing w:before="300" w:after="300" w:line="280" w:lineRule="exact"/>
        <w:jc w:val="left"/>
        <w:outlineLvl w:val="2"/>
        <w:rPr>
          <w:rFonts w:ascii="宋体" w:hAnsi="宋体" w:eastAsia="宋体" w:cs="宋体"/>
          <w:b/>
          <w:bCs/>
          <w:color w:val="auto"/>
          <w:sz w:val="21"/>
          <w:szCs w:val="21"/>
        </w:rPr>
      </w:pPr>
      <w:bookmarkStart w:id="68" w:name="_Toc989044"/>
      <w:r>
        <w:rPr>
          <w:rFonts w:ascii="宋体" w:hAnsi="宋体" w:eastAsia="宋体" w:cs="宋体"/>
          <w:b/>
          <w:bCs/>
          <w:color w:val="auto"/>
          <w:sz w:val="21"/>
          <w:szCs w:val="21"/>
        </w:rPr>
        <w:t>43、重要会计政策和会计估计变更</w:t>
      </w:r>
      <w:bookmarkEnd w:id="68"/>
    </w:p>
    <w:p w14:paraId="55D5A94B">
      <w:pPr>
        <w:keepNext/>
        <w:keepLines/>
        <w:spacing w:before="300" w:after="300" w:line="280" w:lineRule="exact"/>
        <w:jc w:val="left"/>
        <w:outlineLvl w:val="3"/>
        <w:rPr>
          <w:rFonts w:ascii="宋体" w:hAnsi="宋体" w:eastAsia="宋体" w:cs="宋体"/>
          <w:b/>
          <w:bCs/>
          <w:color w:val="auto"/>
          <w:sz w:val="18"/>
          <w:szCs w:val="18"/>
        </w:rPr>
      </w:pPr>
      <w:bookmarkStart w:id="69" w:name="_Toc989045"/>
      <w:r>
        <w:rPr>
          <w:rFonts w:ascii="宋体" w:hAnsi="宋体" w:eastAsia="宋体" w:cs="宋体"/>
          <w:b/>
          <w:bCs/>
          <w:color w:val="auto"/>
          <w:sz w:val="18"/>
          <w:szCs w:val="18"/>
        </w:rPr>
        <w:t>（1）重要会计政策变更</w:t>
      </w:r>
      <w:bookmarkEnd w:id="69"/>
    </w:p>
    <w:p w14:paraId="3A8B7A9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3F510AA0">
      <w:pPr>
        <w:keepNext/>
        <w:keepLines/>
        <w:spacing w:before="300" w:after="300" w:line="280" w:lineRule="exact"/>
        <w:jc w:val="left"/>
        <w:outlineLvl w:val="3"/>
        <w:rPr>
          <w:rFonts w:ascii="宋体" w:hAnsi="宋体" w:eastAsia="宋体" w:cs="宋体"/>
          <w:b/>
          <w:bCs/>
          <w:color w:val="auto"/>
          <w:sz w:val="18"/>
          <w:szCs w:val="18"/>
        </w:rPr>
      </w:pPr>
      <w:bookmarkStart w:id="70" w:name="_Toc989046"/>
      <w:r>
        <w:rPr>
          <w:rFonts w:ascii="宋体" w:hAnsi="宋体" w:eastAsia="宋体" w:cs="宋体"/>
          <w:b/>
          <w:bCs/>
          <w:color w:val="auto"/>
          <w:sz w:val="18"/>
          <w:szCs w:val="18"/>
        </w:rPr>
        <w:t>（2）重要会计估计变更</w:t>
      </w:r>
      <w:bookmarkEnd w:id="70"/>
    </w:p>
    <w:p w14:paraId="3F79C45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431AC196">
      <w:pPr>
        <w:keepNext/>
        <w:keepLines/>
        <w:spacing w:before="300" w:after="300" w:line="280" w:lineRule="exact"/>
        <w:jc w:val="left"/>
        <w:outlineLvl w:val="3"/>
        <w:rPr>
          <w:rFonts w:ascii="宋体" w:hAnsi="宋体" w:eastAsia="宋体" w:cs="宋体"/>
          <w:b/>
          <w:bCs/>
          <w:color w:val="auto"/>
          <w:sz w:val="18"/>
          <w:szCs w:val="18"/>
        </w:rPr>
      </w:pPr>
      <w:bookmarkStart w:id="71" w:name="_Toc989047"/>
      <w:r>
        <w:rPr>
          <w:rFonts w:ascii="宋体" w:hAnsi="宋体" w:eastAsia="宋体" w:cs="宋体"/>
          <w:b/>
          <w:bCs/>
          <w:color w:val="auto"/>
          <w:sz w:val="18"/>
          <w:szCs w:val="18"/>
        </w:rPr>
        <w:t>（3）2025年起首次执行新会计准则调整首次执行当年年初财务报表相关项目情况</w:t>
      </w:r>
      <w:bookmarkEnd w:id="71"/>
    </w:p>
    <w:p w14:paraId="264DC0A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626A92D8">
      <w:pPr>
        <w:keepNext/>
        <w:keepLines/>
        <w:spacing w:before="300" w:after="300" w:line="280" w:lineRule="exact"/>
        <w:jc w:val="left"/>
        <w:outlineLvl w:val="2"/>
        <w:rPr>
          <w:rFonts w:ascii="宋体" w:hAnsi="宋体" w:eastAsia="宋体" w:cs="宋体"/>
          <w:b/>
          <w:bCs/>
          <w:color w:val="auto"/>
          <w:sz w:val="21"/>
          <w:szCs w:val="21"/>
        </w:rPr>
      </w:pPr>
      <w:bookmarkStart w:id="72" w:name="_Toc989048"/>
      <w:r>
        <w:rPr>
          <w:rFonts w:ascii="宋体" w:hAnsi="宋体" w:eastAsia="宋体" w:cs="宋体"/>
          <w:b/>
          <w:bCs/>
          <w:color w:val="auto"/>
          <w:sz w:val="21"/>
          <w:szCs w:val="21"/>
        </w:rPr>
        <w:t>44、其他</w:t>
      </w:r>
      <w:bookmarkEnd w:id="72"/>
    </w:p>
    <w:p w14:paraId="73A7E786">
      <w:pPr>
        <w:keepNext/>
        <w:keepLines/>
        <w:spacing w:before="300" w:after="300" w:line="320" w:lineRule="exact"/>
        <w:jc w:val="left"/>
        <w:outlineLvl w:val="1"/>
        <w:rPr>
          <w:rFonts w:ascii="宋体" w:hAnsi="宋体" w:eastAsia="宋体" w:cs="宋体"/>
          <w:b/>
          <w:bCs/>
          <w:color w:val="auto"/>
          <w:sz w:val="24"/>
          <w:szCs w:val="24"/>
        </w:rPr>
      </w:pPr>
      <w:bookmarkStart w:id="73" w:name="_Toc989049"/>
      <w:r>
        <w:rPr>
          <w:rFonts w:ascii="宋体" w:hAnsi="宋体" w:eastAsia="宋体" w:cs="宋体"/>
          <w:b/>
          <w:bCs/>
          <w:color w:val="auto"/>
          <w:sz w:val="24"/>
          <w:szCs w:val="24"/>
        </w:rPr>
        <w:t>六、税项</w:t>
      </w:r>
      <w:bookmarkEnd w:id="73"/>
    </w:p>
    <w:p w14:paraId="4385D3FF">
      <w:pPr>
        <w:keepNext/>
        <w:keepLines/>
        <w:spacing w:before="300" w:after="300" w:line="280" w:lineRule="exact"/>
        <w:jc w:val="left"/>
        <w:outlineLvl w:val="2"/>
        <w:rPr>
          <w:rFonts w:ascii="宋体" w:hAnsi="宋体" w:eastAsia="宋体" w:cs="宋体"/>
          <w:b/>
          <w:bCs/>
          <w:color w:val="auto"/>
          <w:sz w:val="21"/>
          <w:szCs w:val="21"/>
        </w:rPr>
      </w:pPr>
      <w:bookmarkStart w:id="74" w:name="_Toc989050"/>
      <w:r>
        <w:rPr>
          <w:rFonts w:ascii="宋体" w:hAnsi="宋体" w:eastAsia="宋体" w:cs="宋体"/>
          <w:b/>
          <w:bCs/>
          <w:color w:val="auto"/>
          <w:sz w:val="21"/>
          <w:szCs w:val="21"/>
        </w:rPr>
        <w:t>1、主要税种及税率</w:t>
      </w:r>
      <w:bookmarkEnd w:id="74"/>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8E3AD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70470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税种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CF2A0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计税依据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B1C1B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税率</w:t>
            </w:r>
          </w:p>
        </w:tc>
      </w:tr>
      <w:tr w14:paraId="04772C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9846E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增值税</w:t>
            </w:r>
          </w:p>
        </w:tc>
        <w:tc>
          <w:tcPr>
            <w:tcW w:w="3213" w:type="dxa"/>
            <w:tcBorders>
              <w:top w:val="single" w:color="auto" w:sz="2" w:space="0"/>
              <w:left w:val="single" w:color="auto" w:sz="2" w:space="0"/>
              <w:bottom w:val="single" w:color="auto" w:sz="2" w:space="0"/>
              <w:right w:val="single" w:color="auto" w:sz="2" w:space="0"/>
            </w:tcBorders>
            <w:vAlign w:val="center"/>
          </w:tcPr>
          <w:p w14:paraId="773DFCB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销售货物过程中产生的增值额</w:t>
            </w:r>
          </w:p>
        </w:tc>
        <w:tc>
          <w:tcPr>
            <w:tcW w:w="3213" w:type="dxa"/>
            <w:tcBorders>
              <w:top w:val="single" w:color="auto" w:sz="2" w:space="0"/>
              <w:left w:val="single" w:color="auto" w:sz="2" w:space="0"/>
              <w:bottom w:val="single" w:color="auto" w:sz="2" w:space="0"/>
              <w:right w:val="single" w:color="auto" w:sz="2" w:space="0"/>
            </w:tcBorders>
            <w:vAlign w:val="center"/>
          </w:tcPr>
          <w:p w14:paraId="38AA07F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13%、9%、6%、5%、3%</w:t>
            </w:r>
          </w:p>
        </w:tc>
      </w:tr>
      <w:tr w14:paraId="25CE9F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56E4F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768F60E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实缴流转税税额</w:t>
            </w:r>
          </w:p>
        </w:tc>
        <w:tc>
          <w:tcPr>
            <w:tcW w:w="3213" w:type="dxa"/>
            <w:tcBorders>
              <w:top w:val="single" w:color="auto" w:sz="2" w:space="0"/>
              <w:left w:val="single" w:color="auto" w:sz="2" w:space="0"/>
              <w:bottom w:val="single" w:color="auto" w:sz="2" w:space="0"/>
              <w:right w:val="single" w:color="auto" w:sz="2" w:space="0"/>
            </w:tcBorders>
            <w:vAlign w:val="center"/>
          </w:tcPr>
          <w:p w14:paraId="01E7B84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7%、5%、1%</w:t>
            </w:r>
          </w:p>
        </w:tc>
      </w:tr>
      <w:tr w14:paraId="337D4B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8C6E7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企业所得税</w:t>
            </w:r>
          </w:p>
        </w:tc>
        <w:tc>
          <w:tcPr>
            <w:tcW w:w="3213" w:type="dxa"/>
            <w:tcBorders>
              <w:top w:val="single" w:color="auto" w:sz="2" w:space="0"/>
              <w:left w:val="single" w:color="auto" w:sz="2" w:space="0"/>
              <w:bottom w:val="single" w:color="auto" w:sz="2" w:space="0"/>
              <w:right w:val="single" w:color="auto" w:sz="2" w:space="0"/>
            </w:tcBorders>
            <w:vAlign w:val="center"/>
          </w:tcPr>
          <w:p w14:paraId="4221758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应纳税所得额</w:t>
            </w:r>
          </w:p>
        </w:tc>
        <w:tc>
          <w:tcPr>
            <w:tcW w:w="3213" w:type="dxa"/>
            <w:tcBorders>
              <w:top w:val="single" w:color="auto" w:sz="2" w:space="0"/>
              <w:left w:val="single" w:color="auto" w:sz="2" w:space="0"/>
              <w:bottom w:val="single" w:color="auto" w:sz="2" w:space="0"/>
              <w:right w:val="single" w:color="auto" w:sz="2" w:space="0"/>
            </w:tcBorders>
            <w:vAlign w:val="center"/>
          </w:tcPr>
          <w:p w14:paraId="079BDEE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25%、20%、15%</w:t>
            </w:r>
          </w:p>
        </w:tc>
      </w:tr>
      <w:tr w14:paraId="2452EE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CD0F8E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房产税</w:t>
            </w:r>
          </w:p>
        </w:tc>
        <w:tc>
          <w:tcPr>
            <w:tcW w:w="3213" w:type="dxa"/>
            <w:tcBorders>
              <w:top w:val="single" w:color="auto" w:sz="2" w:space="0"/>
              <w:left w:val="single" w:color="auto" w:sz="2" w:space="0"/>
              <w:bottom w:val="single" w:color="auto" w:sz="2" w:space="0"/>
              <w:right w:val="single" w:color="auto" w:sz="2" w:space="0"/>
            </w:tcBorders>
            <w:vAlign w:val="center"/>
          </w:tcPr>
          <w:p w14:paraId="0382056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按照房产原值的70%（或租金收入）为纳税基准</w:t>
            </w:r>
          </w:p>
        </w:tc>
        <w:tc>
          <w:tcPr>
            <w:tcW w:w="3213" w:type="dxa"/>
            <w:tcBorders>
              <w:top w:val="single" w:color="auto" w:sz="2" w:space="0"/>
              <w:left w:val="single" w:color="auto" w:sz="2" w:space="0"/>
              <w:bottom w:val="single" w:color="auto" w:sz="2" w:space="0"/>
              <w:right w:val="single" w:color="auto" w:sz="2" w:space="0"/>
            </w:tcBorders>
            <w:vAlign w:val="center"/>
          </w:tcPr>
          <w:p w14:paraId="3535EB3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12%或1.2%</w:t>
            </w:r>
          </w:p>
        </w:tc>
      </w:tr>
      <w:tr w14:paraId="16EC3B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F16834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7AAC972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应交增值税</w:t>
            </w:r>
          </w:p>
        </w:tc>
        <w:tc>
          <w:tcPr>
            <w:tcW w:w="3213" w:type="dxa"/>
            <w:tcBorders>
              <w:top w:val="single" w:color="auto" w:sz="2" w:space="0"/>
              <w:left w:val="single" w:color="auto" w:sz="2" w:space="0"/>
              <w:bottom w:val="single" w:color="auto" w:sz="2" w:space="0"/>
              <w:right w:val="single" w:color="auto" w:sz="2" w:space="0"/>
            </w:tcBorders>
            <w:vAlign w:val="center"/>
          </w:tcPr>
          <w:p w14:paraId="6216259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w:t>
            </w:r>
          </w:p>
        </w:tc>
      </w:tr>
      <w:tr w14:paraId="4A9F95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7BC7E8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地方教育费附加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2B40168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应交增值税</w:t>
            </w:r>
          </w:p>
        </w:tc>
        <w:tc>
          <w:tcPr>
            <w:tcW w:w="3213" w:type="dxa"/>
            <w:tcBorders>
              <w:top w:val="single" w:color="auto" w:sz="2" w:space="0"/>
              <w:left w:val="single" w:color="auto" w:sz="2" w:space="0"/>
              <w:bottom w:val="single" w:color="auto" w:sz="2" w:space="0"/>
              <w:right w:val="single" w:color="auto" w:sz="2" w:space="0"/>
            </w:tcBorders>
            <w:vAlign w:val="center"/>
          </w:tcPr>
          <w:p w14:paraId="68980E5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w:t>
            </w:r>
          </w:p>
        </w:tc>
      </w:tr>
    </w:tbl>
    <w:p w14:paraId="0FB59F0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存在不同企业所得税税率纳税主体的，披露情况说明</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790B96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AC8B23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纳税主体名称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6BC55E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所得税税率</w:t>
            </w:r>
          </w:p>
        </w:tc>
      </w:tr>
      <w:tr w14:paraId="56B37A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0820F4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福建广生堂药业股份有限公司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2410442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15%</w:t>
            </w:r>
          </w:p>
        </w:tc>
      </w:tr>
      <w:tr w14:paraId="5DB47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84D8CA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其他子公司</w:t>
            </w:r>
          </w:p>
        </w:tc>
        <w:tc>
          <w:tcPr>
            <w:tcW w:w="4820" w:type="dxa"/>
            <w:tcBorders>
              <w:top w:val="single" w:color="auto" w:sz="2" w:space="0"/>
              <w:left w:val="single" w:color="auto" w:sz="2" w:space="0"/>
              <w:bottom w:val="single" w:color="auto" w:sz="2" w:space="0"/>
              <w:right w:val="single" w:color="auto" w:sz="2" w:space="0"/>
            </w:tcBorders>
            <w:vAlign w:val="center"/>
          </w:tcPr>
          <w:p w14:paraId="70E5915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25%、20%</w:t>
            </w:r>
          </w:p>
        </w:tc>
      </w:tr>
    </w:tbl>
    <w:p w14:paraId="35F1CD20">
      <w:pPr>
        <w:keepNext/>
        <w:keepLines/>
        <w:spacing w:before="300" w:after="300" w:line="280" w:lineRule="exact"/>
        <w:jc w:val="left"/>
        <w:outlineLvl w:val="2"/>
        <w:rPr>
          <w:rFonts w:ascii="宋体" w:hAnsi="宋体" w:eastAsia="宋体" w:cs="宋体"/>
          <w:b/>
          <w:bCs/>
          <w:color w:val="auto"/>
          <w:sz w:val="21"/>
          <w:szCs w:val="21"/>
        </w:rPr>
      </w:pPr>
      <w:bookmarkStart w:id="75" w:name="_Toc989051"/>
      <w:r>
        <w:rPr>
          <w:rFonts w:ascii="宋体" w:hAnsi="宋体" w:eastAsia="宋体" w:cs="宋体"/>
          <w:b/>
          <w:bCs/>
          <w:color w:val="auto"/>
          <w:sz w:val="21"/>
          <w:szCs w:val="21"/>
        </w:rPr>
        <w:t>2、税收优惠</w:t>
      </w:r>
      <w:bookmarkEnd w:id="75"/>
    </w:p>
    <w:p w14:paraId="5C20E65D">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根据全国高新技术企业认定管理工作领导小组办公室于2024年12月30日发布的《对福建省认定机构2024年认定报备的第二批高新技术企业进行备案的公告》，公司已被列入《福建省认定机构2024年认定报备的第二批高新技术企业备案名单》，高新技术企业证书编号：GR202435002012，2024年至2026年度公司执行15%的企业所得税税率。</w:t>
      </w:r>
    </w:p>
    <w:p w14:paraId="4187FE38">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根据《财政部税务总局关于进一步支持小微企业和个体工商户发展有关税费政策的公告》（财政部税务总局公告2023年第12号）规定，至2027年12月31日，对小型微利企业减按25%计算应纳税所得额，按20%的税率缴纳企业所得税政策。</w:t>
      </w:r>
    </w:p>
    <w:p w14:paraId="2F04CA76">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3.根据《财政部 税务总局关于进一步完善税前加计扣除政策的公告》（2021年第13号）规定，自2021年1月1日起，公司及合并报表范围内的其他公司开展研发活动中实际发生的研发费用，未形成无形资产计入当期损益的，在按规定据实扣除的基础上，再按照实际发生额的100%在税前加计扣除；形成无形资产的，自2021年1月1日起，按照无形资产成本的200%在税前摊销。</w:t>
      </w:r>
    </w:p>
    <w:p w14:paraId="0E45C16B">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4.根据《财政部 税务总局关于设备器具扣除有关企业所得税政策的通知》（财税〔2018〕54号）、《财政部 税务总局关于延长部分税收优惠政策执行期限的公告》（财政部税务总局公告2021年第6号）、《财政部税务总局关于设备、器具扣除有关企业所得税政策的公告》（财政部税务总局公告2023年第37号）等相关规定，公司及及合并报表范围内的其他公司在相应期间内对符合条件的固定资产一次性计入当期成本费用在计算应纳税所得额时扣除。</w:t>
      </w:r>
    </w:p>
    <w:p w14:paraId="3DFCCD89">
      <w:pPr>
        <w:pStyle w:val="4"/>
        <w:keepNext w:val="0"/>
        <w:keepLines w:val="0"/>
        <w:widowControl/>
        <w:suppressLineNumbers w:val="0"/>
        <w:spacing w:before="100" w:beforeAutospacing="0" w:after="100" w:afterAutospacing="0" w:line="360" w:lineRule="auto"/>
        <w:ind w:left="0" w:right="0" w:firstLine="420"/>
        <w:jc w:val="both"/>
        <w:rPr>
          <w:rFonts w:hint="eastAsia" w:ascii="宋体" w:hAnsi="宋体" w:eastAsia="宋体" w:cs="宋体"/>
          <w:color w:val="auto"/>
          <w:sz w:val="21"/>
          <w:szCs w:val="21"/>
        </w:rPr>
      </w:pPr>
      <w:r>
        <w:rPr>
          <w:rFonts w:hint="eastAsia" w:ascii="宋体" w:hAnsi="宋体" w:eastAsia="宋体" w:cs="宋体"/>
          <w:color w:val="auto"/>
          <w:sz w:val="21"/>
          <w:szCs w:val="21"/>
        </w:rPr>
        <w:t>5.《财政部税务总局关于进一步加大增值税期末留抵退税政策实施力度的公告》（财政部税务总局公告2022年第14号）、《财政部税务总局关于进一步持续加快增值税期末留抵退税政策实施进度的公告》（财政部税务总局公告2022年第19号），公司及合并报表范围内的其他公司依据相关政策规定向主管税务机关申请退还存量留抵税额。</w:t>
      </w:r>
    </w:p>
    <w:p w14:paraId="77BB0CEA">
      <w:pPr>
        <w:pStyle w:val="4"/>
        <w:keepNext w:val="0"/>
        <w:keepLines w:val="0"/>
        <w:widowControl/>
        <w:suppressLineNumbers w:val="0"/>
        <w:spacing w:before="100" w:beforeAutospacing="0" w:after="100" w:afterAutospacing="0" w:line="360" w:lineRule="auto"/>
        <w:ind w:left="0" w:right="0" w:firstLine="420"/>
        <w:jc w:val="both"/>
        <w:rPr>
          <w:rFonts w:hint="default" w:ascii="Times New Roman" w:hAnsi="Times New Roman" w:cs="Times New Roman"/>
          <w:color w:val="auto"/>
          <w:sz w:val="24"/>
          <w:szCs w:val="24"/>
        </w:rPr>
      </w:pPr>
      <w:r>
        <w:rPr>
          <w:rFonts w:hint="default" w:ascii="宋体" w:hAnsi="宋体" w:eastAsia="宋体" w:cs="宋体"/>
          <w:color w:val="auto"/>
          <w:sz w:val="21"/>
          <w:szCs w:val="21"/>
        </w:rPr>
        <w:t>6、《财政部税务总局关于进一步支持小微企业和个体工商户发展有关税费政策的公告》（财政部、税务总局于2023年发布的第12号），公司及合并报表范围内的其他公司满足增值税小规模纳税人、小型微利企业条件的，根据相关政策在2023年1月1日至2027年12月31日，资源税、城市维护建设税、房产税、城镇土地使用税、印花税（不含证券交易印花税）、耕地占用税和教育费附加、地方教育附加减按50%缴纳。</w:t>
      </w:r>
    </w:p>
    <w:p w14:paraId="1D9F05AB">
      <w:pPr>
        <w:keepNext/>
        <w:keepLines/>
        <w:spacing w:before="300" w:after="300" w:line="280" w:lineRule="exact"/>
        <w:jc w:val="left"/>
        <w:outlineLvl w:val="2"/>
        <w:rPr>
          <w:rFonts w:ascii="宋体" w:hAnsi="宋体" w:eastAsia="宋体" w:cs="宋体"/>
          <w:b/>
          <w:bCs/>
          <w:color w:val="auto"/>
          <w:sz w:val="21"/>
          <w:szCs w:val="21"/>
        </w:rPr>
      </w:pPr>
      <w:bookmarkStart w:id="76" w:name="_Toc989052"/>
      <w:r>
        <w:rPr>
          <w:rFonts w:ascii="宋体" w:hAnsi="宋体" w:eastAsia="宋体" w:cs="宋体"/>
          <w:b/>
          <w:bCs/>
          <w:color w:val="auto"/>
          <w:sz w:val="21"/>
          <w:szCs w:val="21"/>
        </w:rPr>
        <w:t>3、其他</w:t>
      </w:r>
      <w:bookmarkEnd w:id="76"/>
    </w:p>
    <w:p w14:paraId="059FF1BD">
      <w:pPr>
        <w:keepNext/>
        <w:keepLines/>
        <w:spacing w:before="300" w:after="300" w:line="320" w:lineRule="exact"/>
        <w:jc w:val="left"/>
        <w:outlineLvl w:val="1"/>
        <w:rPr>
          <w:rFonts w:ascii="宋体" w:hAnsi="宋体" w:eastAsia="宋体" w:cs="宋体"/>
          <w:b/>
          <w:bCs/>
          <w:color w:val="auto"/>
          <w:sz w:val="24"/>
          <w:szCs w:val="24"/>
        </w:rPr>
      </w:pPr>
      <w:bookmarkStart w:id="77" w:name="_Toc989053"/>
      <w:r>
        <w:rPr>
          <w:rFonts w:ascii="宋体" w:hAnsi="宋体" w:eastAsia="宋体" w:cs="宋体"/>
          <w:b/>
          <w:bCs/>
          <w:color w:val="auto"/>
          <w:sz w:val="24"/>
          <w:szCs w:val="24"/>
        </w:rPr>
        <w:t>七、合并财务报表项目注释</w:t>
      </w:r>
      <w:bookmarkEnd w:id="77"/>
    </w:p>
    <w:p w14:paraId="5E99AE5F">
      <w:pPr>
        <w:keepNext/>
        <w:keepLines/>
        <w:spacing w:before="300" w:after="300" w:line="280" w:lineRule="exact"/>
        <w:jc w:val="left"/>
        <w:outlineLvl w:val="2"/>
        <w:rPr>
          <w:rFonts w:ascii="宋体" w:hAnsi="宋体" w:eastAsia="宋体" w:cs="宋体"/>
          <w:b/>
          <w:bCs/>
          <w:color w:val="auto"/>
          <w:sz w:val="21"/>
          <w:szCs w:val="21"/>
        </w:rPr>
      </w:pPr>
      <w:bookmarkStart w:id="78" w:name="_Toc989054"/>
      <w:r>
        <w:rPr>
          <w:rFonts w:ascii="宋体" w:hAnsi="宋体" w:eastAsia="宋体" w:cs="宋体"/>
          <w:b/>
          <w:bCs/>
          <w:color w:val="auto"/>
          <w:sz w:val="21"/>
          <w:szCs w:val="21"/>
        </w:rPr>
        <w:t>1、货币资金</w:t>
      </w:r>
      <w:bookmarkEnd w:id="78"/>
    </w:p>
    <w:p w14:paraId="60758D5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21DEF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1E6CC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4E7F3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DC8D4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1213DE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B9309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银行存款</w:t>
            </w:r>
          </w:p>
        </w:tc>
        <w:tc>
          <w:tcPr>
            <w:tcW w:w="3213" w:type="dxa"/>
            <w:tcBorders>
              <w:top w:val="single" w:color="auto" w:sz="2" w:space="0"/>
              <w:left w:val="single" w:color="auto" w:sz="2" w:space="0"/>
              <w:bottom w:val="single" w:color="auto" w:sz="2" w:space="0"/>
              <w:right w:val="single" w:color="auto" w:sz="2" w:space="0"/>
            </w:tcBorders>
            <w:vAlign w:val="center"/>
          </w:tcPr>
          <w:p w14:paraId="7B25D26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82,240,959.09</w:t>
            </w:r>
          </w:p>
        </w:tc>
        <w:tc>
          <w:tcPr>
            <w:tcW w:w="3213" w:type="dxa"/>
            <w:tcBorders>
              <w:top w:val="single" w:color="auto" w:sz="2" w:space="0"/>
              <w:left w:val="single" w:color="auto" w:sz="2" w:space="0"/>
              <w:bottom w:val="single" w:color="auto" w:sz="2" w:space="0"/>
              <w:right w:val="single" w:color="auto" w:sz="2" w:space="0"/>
            </w:tcBorders>
            <w:vAlign w:val="center"/>
          </w:tcPr>
          <w:p w14:paraId="08B3AF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143,754,066.36</w:t>
            </w:r>
          </w:p>
        </w:tc>
      </w:tr>
      <w:tr w14:paraId="30CDF4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3C9F5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5C9F435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200,000.00</w:t>
            </w:r>
          </w:p>
        </w:tc>
        <w:tc>
          <w:tcPr>
            <w:tcW w:w="3213" w:type="dxa"/>
            <w:tcBorders>
              <w:top w:val="single" w:color="auto" w:sz="2" w:space="0"/>
              <w:left w:val="single" w:color="auto" w:sz="2" w:space="0"/>
              <w:bottom w:val="single" w:color="auto" w:sz="2" w:space="0"/>
              <w:right w:val="single" w:color="auto" w:sz="2" w:space="0"/>
            </w:tcBorders>
            <w:vAlign w:val="center"/>
          </w:tcPr>
          <w:p w14:paraId="1FB727E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200,000.00</w:t>
            </w:r>
          </w:p>
        </w:tc>
      </w:tr>
      <w:tr w14:paraId="2D5931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0C7B4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D6CBE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82,440,959.09</w:t>
            </w:r>
          </w:p>
        </w:tc>
        <w:tc>
          <w:tcPr>
            <w:tcW w:w="3213" w:type="dxa"/>
            <w:tcBorders>
              <w:top w:val="single" w:color="auto" w:sz="2" w:space="0"/>
              <w:left w:val="single" w:color="auto" w:sz="2" w:space="0"/>
              <w:bottom w:val="single" w:color="auto" w:sz="2" w:space="0"/>
              <w:right w:val="single" w:color="auto" w:sz="2" w:space="0"/>
            </w:tcBorders>
            <w:vAlign w:val="center"/>
          </w:tcPr>
          <w:p w14:paraId="70DE4C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143,954,066.36</w:t>
            </w:r>
          </w:p>
        </w:tc>
      </w:tr>
    </w:tbl>
    <w:p w14:paraId="6619F78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A90CD9B">
      <w:pPr>
        <w:pStyle w:val="4"/>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color w:val="auto"/>
          <w:sz w:val="24"/>
          <w:szCs w:val="24"/>
        </w:rPr>
      </w:pPr>
      <w:r>
        <w:rPr>
          <w:rFonts w:hint="eastAsia" w:ascii="宋体" w:hAnsi="宋体" w:eastAsia="宋体" w:cs="宋体"/>
          <w:color w:val="auto"/>
          <w:sz w:val="21"/>
          <w:szCs w:val="21"/>
        </w:rPr>
        <w:t>截止2025年6月30日，受限制的货币资金明细如下：</w:t>
      </w:r>
    </w:p>
    <w:tbl>
      <w:tblPr>
        <w:tblStyle w:val="5"/>
        <w:tblpPr w:leftFromText="180" w:rightFromText="180" w:vertAnchor="text" w:horzAnchor="page" w:tblpX="1116" w:tblpY="470"/>
        <w:tblOverlap w:val="never"/>
        <w:tblW w:w="95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3101"/>
        <w:gridCol w:w="3240"/>
        <w:gridCol w:w="3200"/>
      </w:tblGrid>
      <w:tr w14:paraId="527BA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1" w:hRule="atLeast"/>
        </w:trPr>
        <w:tc>
          <w:tcPr>
            <w:tcW w:w="3101" w:type="dxa"/>
            <w:tcBorders>
              <w:top w:val="single" w:color="000000" w:sz="8" w:space="0"/>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508ED6F0">
            <w:pPr>
              <w:keepNext w:val="0"/>
              <w:keepLines w:val="0"/>
              <w:widowControl/>
              <w:suppressLineNumbers w:val="0"/>
              <w:jc w:val="center"/>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项目</w:t>
            </w:r>
          </w:p>
        </w:tc>
        <w:tc>
          <w:tcPr>
            <w:tcW w:w="324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top"/>
          </w:tcPr>
          <w:p w14:paraId="6C7ADF29">
            <w:pPr>
              <w:keepNext w:val="0"/>
              <w:keepLines w:val="0"/>
              <w:widowControl/>
              <w:suppressLineNumbers w:val="0"/>
              <w:jc w:val="center"/>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期末余额</w:t>
            </w:r>
          </w:p>
        </w:tc>
        <w:tc>
          <w:tcPr>
            <w:tcW w:w="320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top"/>
          </w:tcPr>
          <w:p w14:paraId="5B67DA3B">
            <w:pPr>
              <w:keepNext w:val="0"/>
              <w:keepLines w:val="0"/>
              <w:widowControl/>
              <w:suppressLineNumbers w:val="0"/>
              <w:jc w:val="center"/>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期初余额</w:t>
            </w:r>
          </w:p>
        </w:tc>
      </w:tr>
      <w:tr w14:paraId="763F6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1" w:hRule="atLeast"/>
        </w:trPr>
        <w:tc>
          <w:tcPr>
            <w:tcW w:w="3101"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2375E93C">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其他保证金</w:t>
            </w:r>
          </w:p>
        </w:tc>
        <w:tc>
          <w:tcPr>
            <w:tcW w:w="324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A2B10ED">
            <w:pPr>
              <w:keepNext w:val="0"/>
              <w:keepLines w:val="0"/>
              <w:widowControl/>
              <w:suppressLineNumbers w:val="0"/>
              <w:jc w:val="righ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200,000.00 </w:t>
            </w:r>
          </w:p>
        </w:tc>
        <w:tc>
          <w:tcPr>
            <w:tcW w:w="3200" w:type="dxa"/>
            <w:tcBorders>
              <w:top w:val="nil"/>
              <w:left w:val="nil"/>
              <w:bottom w:val="single" w:color="auto" w:sz="8" w:space="0"/>
              <w:right w:val="single" w:color="auto" w:sz="8" w:space="0"/>
            </w:tcBorders>
            <w:shd w:val="clear" w:color="auto" w:fill="auto"/>
            <w:tcMar>
              <w:top w:w="10" w:type="dxa"/>
              <w:left w:w="10" w:type="dxa"/>
              <w:right w:w="10" w:type="dxa"/>
            </w:tcMar>
            <w:vAlign w:val="top"/>
          </w:tcPr>
          <w:p w14:paraId="34F1B587">
            <w:pPr>
              <w:keepNext w:val="0"/>
              <w:keepLines w:val="0"/>
              <w:widowControl/>
              <w:suppressLineNumbers w:val="0"/>
              <w:jc w:val="right"/>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200,000.00 </w:t>
            </w:r>
          </w:p>
        </w:tc>
      </w:tr>
      <w:tr w14:paraId="3D110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1" w:hRule="atLeast"/>
        </w:trPr>
        <w:tc>
          <w:tcPr>
            <w:tcW w:w="3101"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77F1E374">
            <w:pPr>
              <w:keepNext w:val="0"/>
              <w:keepLines w:val="0"/>
              <w:widowControl/>
              <w:suppressLineNumbers w:val="0"/>
              <w:jc w:val="both"/>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冻结的银行存款</w:t>
            </w:r>
          </w:p>
        </w:tc>
        <w:tc>
          <w:tcPr>
            <w:tcW w:w="324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05500D0">
            <w:pPr>
              <w:keepNext w:val="0"/>
              <w:keepLines w:val="0"/>
              <w:widowControl/>
              <w:suppressLineNumbers w:val="0"/>
              <w:jc w:val="righ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3,344,608.55</w:t>
            </w:r>
          </w:p>
        </w:tc>
        <w:tc>
          <w:tcPr>
            <w:tcW w:w="3200" w:type="dxa"/>
            <w:tcBorders>
              <w:top w:val="nil"/>
              <w:left w:val="nil"/>
              <w:bottom w:val="single" w:color="auto" w:sz="8" w:space="0"/>
              <w:right w:val="single" w:color="auto" w:sz="8" w:space="0"/>
            </w:tcBorders>
            <w:shd w:val="clear" w:color="auto" w:fill="auto"/>
            <w:tcMar>
              <w:top w:w="10" w:type="dxa"/>
              <w:left w:w="10" w:type="dxa"/>
              <w:right w:w="10" w:type="dxa"/>
            </w:tcMar>
            <w:vAlign w:val="top"/>
          </w:tcPr>
          <w:p w14:paraId="71A7C8AB">
            <w:pPr>
              <w:keepNext w:val="0"/>
              <w:keepLines w:val="0"/>
              <w:widowControl/>
              <w:suppressLineNumbers w:val="0"/>
              <w:jc w:val="right"/>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795,608.55</w:t>
            </w:r>
          </w:p>
        </w:tc>
      </w:tr>
      <w:tr w14:paraId="08729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1" w:hRule="atLeast"/>
        </w:trPr>
        <w:tc>
          <w:tcPr>
            <w:tcW w:w="3101"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top"/>
          </w:tcPr>
          <w:p w14:paraId="0111A600">
            <w:pPr>
              <w:keepNext w:val="0"/>
              <w:keepLines w:val="0"/>
              <w:widowControl/>
              <w:suppressLineNumbers w:val="0"/>
              <w:jc w:val="center"/>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合计</w:t>
            </w:r>
          </w:p>
        </w:tc>
        <w:tc>
          <w:tcPr>
            <w:tcW w:w="3240" w:type="dxa"/>
            <w:tcBorders>
              <w:top w:val="nil"/>
              <w:left w:val="nil"/>
              <w:bottom w:val="single" w:color="auto" w:sz="8" w:space="0"/>
              <w:right w:val="single" w:color="auto" w:sz="8" w:space="0"/>
            </w:tcBorders>
            <w:shd w:val="clear" w:color="auto" w:fill="auto"/>
            <w:tcMar>
              <w:top w:w="10" w:type="dxa"/>
              <w:left w:w="10" w:type="dxa"/>
              <w:right w:w="10" w:type="dxa"/>
            </w:tcMar>
            <w:vAlign w:val="top"/>
          </w:tcPr>
          <w:p w14:paraId="5798D3E2">
            <w:pPr>
              <w:keepNext w:val="0"/>
              <w:keepLines w:val="0"/>
              <w:widowControl/>
              <w:suppressLineNumbers w:val="0"/>
              <w:jc w:val="right"/>
              <w:textAlignment w:val="top"/>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3,544,608.55</w:t>
            </w:r>
          </w:p>
        </w:tc>
        <w:tc>
          <w:tcPr>
            <w:tcW w:w="3200" w:type="dxa"/>
            <w:tcBorders>
              <w:top w:val="nil"/>
              <w:left w:val="nil"/>
              <w:bottom w:val="single" w:color="auto" w:sz="8" w:space="0"/>
              <w:right w:val="single" w:color="auto" w:sz="8" w:space="0"/>
            </w:tcBorders>
            <w:shd w:val="clear" w:color="auto" w:fill="auto"/>
            <w:tcMar>
              <w:top w:w="10" w:type="dxa"/>
              <w:left w:w="10" w:type="dxa"/>
              <w:right w:w="10" w:type="dxa"/>
            </w:tcMar>
            <w:vAlign w:val="top"/>
          </w:tcPr>
          <w:p w14:paraId="23D3B7CC">
            <w:pPr>
              <w:keepNext w:val="0"/>
              <w:keepLines w:val="0"/>
              <w:widowControl/>
              <w:suppressLineNumbers w:val="0"/>
              <w:jc w:val="right"/>
              <w:textAlignment w:val="top"/>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995,608.55</w:t>
            </w:r>
          </w:p>
        </w:tc>
      </w:tr>
    </w:tbl>
    <w:p w14:paraId="4BF5D12F">
      <w:pPr>
        <w:keepNext/>
        <w:keepLines/>
        <w:spacing w:before="300" w:after="300" w:line="280" w:lineRule="exact"/>
        <w:jc w:val="left"/>
        <w:outlineLvl w:val="2"/>
        <w:rPr>
          <w:rFonts w:ascii="宋体" w:hAnsi="宋体" w:eastAsia="宋体" w:cs="宋体"/>
          <w:b/>
          <w:bCs/>
          <w:color w:val="auto"/>
          <w:sz w:val="21"/>
          <w:szCs w:val="21"/>
        </w:rPr>
      </w:pPr>
      <w:bookmarkStart w:id="79" w:name="_Toc989055"/>
      <w:r>
        <w:rPr>
          <w:rFonts w:ascii="宋体" w:hAnsi="宋体" w:eastAsia="宋体" w:cs="宋体"/>
          <w:b/>
          <w:bCs/>
          <w:color w:val="auto"/>
          <w:sz w:val="21"/>
          <w:szCs w:val="21"/>
        </w:rPr>
        <w:t>2、交易性金融资产</w:t>
      </w:r>
      <w:bookmarkEnd w:id="79"/>
    </w:p>
    <w:p w14:paraId="68C8305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1EC1E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0A179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96F48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713D8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442F2B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387CB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832565">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4F713E">
            <w:pPr>
              <w:rPr>
                <w:color w:val="auto"/>
              </w:rPr>
            </w:pPr>
          </w:p>
        </w:tc>
      </w:tr>
      <w:tr w14:paraId="3BAF9A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70265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DE7BDE">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4DE752">
            <w:pPr>
              <w:rPr>
                <w:color w:val="auto"/>
              </w:rPr>
            </w:pPr>
          </w:p>
        </w:tc>
      </w:tr>
    </w:tbl>
    <w:p w14:paraId="47268F5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B140C33">
      <w:pPr>
        <w:keepNext/>
        <w:keepLines/>
        <w:spacing w:before="300" w:after="300" w:line="280" w:lineRule="exact"/>
        <w:jc w:val="left"/>
        <w:outlineLvl w:val="2"/>
        <w:rPr>
          <w:rFonts w:ascii="宋体" w:hAnsi="宋体" w:eastAsia="宋体" w:cs="宋体"/>
          <w:b/>
          <w:bCs/>
          <w:color w:val="auto"/>
          <w:sz w:val="21"/>
          <w:szCs w:val="21"/>
        </w:rPr>
      </w:pPr>
      <w:bookmarkStart w:id="80" w:name="_Toc989056"/>
      <w:r>
        <w:rPr>
          <w:rFonts w:ascii="宋体" w:hAnsi="宋体" w:eastAsia="宋体" w:cs="宋体"/>
          <w:b/>
          <w:bCs/>
          <w:color w:val="auto"/>
          <w:sz w:val="21"/>
          <w:szCs w:val="21"/>
        </w:rPr>
        <w:t>3、衍生金融资产</w:t>
      </w:r>
      <w:bookmarkEnd w:id="80"/>
    </w:p>
    <w:p w14:paraId="5AF9453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9543E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98116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7395E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FF9D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693262B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533FCFBC">
      <w:pPr>
        <w:keepNext/>
        <w:keepLines/>
        <w:spacing w:before="300" w:after="300" w:line="280" w:lineRule="exact"/>
        <w:jc w:val="left"/>
        <w:outlineLvl w:val="2"/>
        <w:rPr>
          <w:rFonts w:ascii="宋体" w:hAnsi="宋体" w:eastAsia="宋体" w:cs="宋体"/>
          <w:b/>
          <w:bCs/>
          <w:color w:val="auto"/>
          <w:sz w:val="21"/>
          <w:szCs w:val="21"/>
        </w:rPr>
      </w:pPr>
      <w:bookmarkStart w:id="81" w:name="_Toc989057"/>
      <w:r>
        <w:rPr>
          <w:rFonts w:ascii="宋体" w:hAnsi="宋体" w:eastAsia="宋体" w:cs="宋体"/>
          <w:b/>
          <w:bCs/>
          <w:color w:val="auto"/>
          <w:sz w:val="21"/>
          <w:szCs w:val="21"/>
        </w:rPr>
        <w:t>4、应收票据</w:t>
      </w:r>
      <w:bookmarkEnd w:id="81"/>
    </w:p>
    <w:p w14:paraId="60A2D772">
      <w:pPr>
        <w:keepNext/>
        <w:keepLines/>
        <w:spacing w:before="300" w:after="300" w:line="280" w:lineRule="exact"/>
        <w:jc w:val="left"/>
        <w:outlineLvl w:val="3"/>
        <w:rPr>
          <w:rFonts w:ascii="宋体" w:hAnsi="宋体" w:eastAsia="宋体" w:cs="宋体"/>
          <w:b/>
          <w:bCs/>
          <w:color w:val="auto"/>
          <w:sz w:val="21"/>
          <w:szCs w:val="21"/>
        </w:rPr>
      </w:pPr>
      <w:bookmarkStart w:id="82" w:name="_Toc989058"/>
      <w:r>
        <w:rPr>
          <w:rFonts w:ascii="宋体" w:hAnsi="宋体" w:eastAsia="宋体" w:cs="宋体"/>
          <w:b/>
          <w:bCs/>
          <w:color w:val="auto"/>
          <w:sz w:val="21"/>
          <w:szCs w:val="21"/>
        </w:rPr>
        <w:t>（1）应收票据分类列示</w:t>
      </w:r>
      <w:bookmarkEnd w:id="82"/>
    </w:p>
    <w:p w14:paraId="151189A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4DE80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07E88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D8A55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4F77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4D77752E">
      <w:pPr>
        <w:keepNext/>
        <w:keepLines/>
        <w:spacing w:before="300" w:after="300" w:line="280" w:lineRule="exact"/>
        <w:jc w:val="left"/>
        <w:outlineLvl w:val="3"/>
        <w:rPr>
          <w:rFonts w:ascii="宋体" w:hAnsi="宋体" w:eastAsia="宋体" w:cs="宋体"/>
          <w:b/>
          <w:bCs/>
          <w:color w:val="auto"/>
          <w:sz w:val="21"/>
          <w:szCs w:val="21"/>
        </w:rPr>
      </w:pPr>
      <w:bookmarkStart w:id="83" w:name="_Toc989059"/>
      <w:r>
        <w:rPr>
          <w:rFonts w:ascii="宋体" w:hAnsi="宋体" w:eastAsia="宋体" w:cs="宋体"/>
          <w:b/>
          <w:bCs/>
          <w:color w:val="auto"/>
          <w:sz w:val="21"/>
          <w:szCs w:val="21"/>
        </w:rPr>
        <w:t>（2）按坏账计提方法分类披露</w:t>
      </w:r>
      <w:bookmarkEnd w:id="83"/>
    </w:p>
    <w:p w14:paraId="1B093EC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06E6B0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886447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7313BD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197737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498E52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3A5EEA">
            <w:pPr>
              <w:rPr>
                <w:color w:val="auto"/>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8098D4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8A58C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70F3D1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B4B3F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F5A0E1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B37B3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798D3F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05F4297">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32F71B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D5BA55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C9C1BF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ECAEEC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0B0FF52">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C10A4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A693F3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4540C5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81827C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4C496B">
            <w:pPr>
              <w:rPr>
                <w:color w:val="auto"/>
              </w:rPr>
            </w:pPr>
          </w:p>
        </w:tc>
      </w:tr>
      <w:tr w14:paraId="43BA8D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9AB114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4926AB">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8D1DCB6">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F854FBE">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A848065">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74E066D">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05CB212">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E41AD07">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FCC4829">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474264B">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D02347A">
            <w:pPr>
              <w:rPr>
                <w:color w:val="auto"/>
              </w:rPr>
            </w:pPr>
          </w:p>
        </w:tc>
      </w:tr>
      <w:tr w14:paraId="001BAF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DA459A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6560DAB">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35E0537">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97BD3E6">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11B50D1">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B35AA02">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92871DB">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71D26FC">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D9823FB">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043BEC6">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0E73095">
            <w:pPr>
              <w:rPr>
                <w:color w:val="auto"/>
              </w:rPr>
            </w:pPr>
          </w:p>
        </w:tc>
      </w:tr>
    </w:tbl>
    <w:p w14:paraId="63DAC0D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如是按照预期信用损失一般模型计提应收票据坏账准备：</w:t>
      </w:r>
    </w:p>
    <w:p w14:paraId="73E14E9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28EEA63A">
      <w:pPr>
        <w:keepNext/>
        <w:keepLines/>
        <w:spacing w:before="300" w:after="300" w:line="280" w:lineRule="exact"/>
        <w:jc w:val="left"/>
        <w:outlineLvl w:val="3"/>
        <w:rPr>
          <w:rFonts w:ascii="宋体" w:hAnsi="宋体" w:eastAsia="宋体" w:cs="宋体"/>
          <w:b/>
          <w:bCs/>
          <w:color w:val="auto"/>
          <w:sz w:val="21"/>
          <w:szCs w:val="21"/>
        </w:rPr>
      </w:pPr>
      <w:bookmarkStart w:id="84" w:name="_Toc989060"/>
      <w:r>
        <w:rPr>
          <w:rFonts w:ascii="宋体" w:hAnsi="宋体" w:eastAsia="宋体" w:cs="宋体"/>
          <w:b/>
          <w:bCs/>
          <w:color w:val="auto"/>
          <w:sz w:val="21"/>
          <w:szCs w:val="21"/>
        </w:rPr>
        <w:t>（3）本期计提、收回或转回的坏账准备情况</w:t>
      </w:r>
      <w:bookmarkEnd w:id="84"/>
    </w:p>
    <w:p w14:paraId="61252C3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本期计提坏账准备情况：</w:t>
      </w:r>
    </w:p>
    <w:p w14:paraId="2B7A6D1B">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F2528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EA04E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A0F7D3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03C3E5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8202B2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292EB3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515CD2D">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A1C5329">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FDE524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10BD14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50953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55B78E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7E99D75">
            <w:pPr>
              <w:rPr>
                <w:color w:val="auto"/>
              </w:rPr>
            </w:pPr>
          </w:p>
        </w:tc>
      </w:tr>
    </w:tbl>
    <w:p w14:paraId="533E789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其中本期坏账准备收回或转回金额重要的：</w:t>
      </w:r>
    </w:p>
    <w:p w14:paraId="1A39DD0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5095109E">
      <w:pPr>
        <w:spacing w:before="40" w:after="40" w:line="0" w:lineRule="exact"/>
        <w:jc w:val="left"/>
        <w:rPr>
          <w:color w:val="auto"/>
        </w:rPr>
      </w:pPr>
    </w:p>
    <w:p w14:paraId="14DFA26C">
      <w:pPr>
        <w:keepNext/>
        <w:keepLines/>
        <w:spacing w:before="300" w:after="300" w:line="280" w:lineRule="exact"/>
        <w:jc w:val="left"/>
        <w:outlineLvl w:val="3"/>
        <w:rPr>
          <w:rFonts w:ascii="宋体" w:hAnsi="宋体" w:eastAsia="宋体" w:cs="宋体"/>
          <w:b/>
          <w:bCs/>
          <w:color w:val="auto"/>
          <w:sz w:val="21"/>
          <w:szCs w:val="21"/>
        </w:rPr>
      </w:pPr>
      <w:bookmarkStart w:id="85" w:name="_Toc989061"/>
      <w:r>
        <w:rPr>
          <w:rFonts w:ascii="宋体" w:hAnsi="宋体" w:eastAsia="宋体" w:cs="宋体"/>
          <w:b/>
          <w:bCs/>
          <w:color w:val="auto"/>
          <w:sz w:val="21"/>
          <w:szCs w:val="21"/>
        </w:rPr>
        <w:t>（4）期末公司已质押的应收票据</w:t>
      </w:r>
      <w:bookmarkEnd w:id="85"/>
    </w:p>
    <w:p w14:paraId="043CB3D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006600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36860B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5250FD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期末已质押金额</w:t>
            </w:r>
          </w:p>
        </w:tc>
      </w:tr>
    </w:tbl>
    <w:p w14:paraId="041A3BD7">
      <w:pPr>
        <w:keepNext/>
        <w:keepLines/>
        <w:spacing w:before="300" w:after="300" w:line="280" w:lineRule="exact"/>
        <w:jc w:val="left"/>
        <w:outlineLvl w:val="3"/>
        <w:rPr>
          <w:rFonts w:ascii="宋体" w:hAnsi="宋体" w:eastAsia="宋体" w:cs="宋体"/>
          <w:b/>
          <w:bCs/>
          <w:color w:val="auto"/>
          <w:sz w:val="21"/>
          <w:szCs w:val="21"/>
        </w:rPr>
      </w:pPr>
      <w:bookmarkStart w:id="86" w:name="_Toc989062"/>
      <w:r>
        <w:rPr>
          <w:rFonts w:ascii="宋体" w:hAnsi="宋体" w:eastAsia="宋体" w:cs="宋体"/>
          <w:b/>
          <w:bCs/>
          <w:color w:val="auto"/>
          <w:sz w:val="21"/>
          <w:szCs w:val="21"/>
        </w:rPr>
        <w:t>（5）期末公司已背书或贴现且在资产负债表日尚未到期的应收票据</w:t>
      </w:r>
      <w:bookmarkEnd w:id="86"/>
    </w:p>
    <w:p w14:paraId="582653F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F85B7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588E2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149D7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期末终止确认金额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49CFD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期末未终止确认金额</w:t>
            </w:r>
          </w:p>
        </w:tc>
      </w:tr>
    </w:tbl>
    <w:p w14:paraId="601BE9F0">
      <w:pPr>
        <w:keepNext/>
        <w:keepLines/>
        <w:spacing w:before="300" w:after="300" w:line="280" w:lineRule="exact"/>
        <w:jc w:val="left"/>
        <w:outlineLvl w:val="3"/>
        <w:rPr>
          <w:rFonts w:ascii="宋体" w:hAnsi="宋体" w:eastAsia="宋体" w:cs="宋体"/>
          <w:b/>
          <w:bCs/>
          <w:color w:val="auto"/>
          <w:sz w:val="21"/>
          <w:szCs w:val="21"/>
        </w:rPr>
      </w:pPr>
      <w:bookmarkStart w:id="87" w:name="_Toc989063"/>
      <w:r>
        <w:rPr>
          <w:rFonts w:ascii="宋体" w:hAnsi="宋体" w:eastAsia="宋体" w:cs="宋体"/>
          <w:b/>
          <w:bCs/>
          <w:color w:val="auto"/>
          <w:sz w:val="21"/>
          <w:szCs w:val="21"/>
        </w:rPr>
        <w:t>（6）本期实际核销的应收票据情况</w:t>
      </w:r>
      <w:bookmarkEnd w:id="87"/>
    </w:p>
    <w:p w14:paraId="44CBB930">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99D9E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F6FFD5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5B9DD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4AA3114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其中重要的应收票据核销情况：</w:t>
      </w:r>
    </w:p>
    <w:p w14:paraId="099DDEEF">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7E5CA7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133BA2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B4F545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应收票据性质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B23391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F46BA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426FC7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D06235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45D06A4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应收票据核销说明：</w:t>
      </w:r>
    </w:p>
    <w:p w14:paraId="0142A43B">
      <w:pPr>
        <w:keepNext/>
        <w:keepLines/>
        <w:spacing w:before="300" w:after="300" w:line="280" w:lineRule="exact"/>
        <w:jc w:val="left"/>
        <w:outlineLvl w:val="2"/>
        <w:rPr>
          <w:rFonts w:ascii="宋体" w:hAnsi="宋体" w:eastAsia="宋体" w:cs="宋体"/>
          <w:b/>
          <w:bCs/>
          <w:color w:val="auto"/>
          <w:sz w:val="21"/>
          <w:szCs w:val="21"/>
        </w:rPr>
      </w:pPr>
      <w:bookmarkStart w:id="88" w:name="_Toc989064"/>
      <w:r>
        <w:rPr>
          <w:rFonts w:ascii="宋体" w:hAnsi="宋体" w:eastAsia="宋体" w:cs="宋体"/>
          <w:b/>
          <w:bCs/>
          <w:color w:val="auto"/>
          <w:sz w:val="21"/>
          <w:szCs w:val="21"/>
        </w:rPr>
        <w:t>5、应收账款</w:t>
      </w:r>
      <w:bookmarkEnd w:id="88"/>
    </w:p>
    <w:p w14:paraId="0200878B">
      <w:pPr>
        <w:keepNext/>
        <w:keepLines/>
        <w:spacing w:before="300" w:after="300" w:line="280" w:lineRule="exact"/>
        <w:jc w:val="left"/>
        <w:outlineLvl w:val="3"/>
        <w:rPr>
          <w:rFonts w:ascii="宋体" w:hAnsi="宋体" w:eastAsia="宋体" w:cs="宋体"/>
          <w:b/>
          <w:bCs/>
          <w:color w:val="auto"/>
          <w:sz w:val="21"/>
          <w:szCs w:val="21"/>
        </w:rPr>
      </w:pPr>
      <w:bookmarkStart w:id="89" w:name="_Toc989065"/>
      <w:r>
        <w:rPr>
          <w:rFonts w:ascii="宋体" w:hAnsi="宋体" w:eastAsia="宋体" w:cs="宋体"/>
          <w:b/>
          <w:bCs/>
          <w:color w:val="auto"/>
          <w:sz w:val="21"/>
          <w:szCs w:val="21"/>
        </w:rPr>
        <w:t>（1）按账龄披露</w:t>
      </w:r>
      <w:bookmarkEnd w:id="89"/>
    </w:p>
    <w:p w14:paraId="7EF67CAE">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85F2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21C65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94748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2040D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期初账面余额</w:t>
            </w:r>
          </w:p>
        </w:tc>
      </w:tr>
      <w:tr w14:paraId="07B4BD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1D2DD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1A5E10B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80,407,631.26</w:t>
            </w:r>
          </w:p>
        </w:tc>
        <w:tc>
          <w:tcPr>
            <w:tcW w:w="3213" w:type="dxa"/>
            <w:tcBorders>
              <w:top w:val="single" w:color="auto" w:sz="2" w:space="0"/>
              <w:left w:val="single" w:color="auto" w:sz="2" w:space="0"/>
              <w:bottom w:val="single" w:color="auto" w:sz="2" w:space="0"/>
              <w:right w:val="single" w:color="auto" w:sz="2" w:space="0"/>
            </w:tcBorders>
            <w:vAlign w:val="center"/>
          </w:tcPr>
          <w:p w14:paraId="7C2DEF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70,567,468.60</w:t>
            </w:r>
          </w:p>
        </w:tc>
      </w:tr>
      <w:tr w14:paraId="39BE2F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CF1EA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2648A4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6,547,644.68</w:t>
            </w:r>
          </w:p>
        </w:tc>
        <w:tc>
          <w:tcPr>
            <w:tcW w:w="3213" w:type="dxa"/>
            <w:tcBorders>
              <w:top w:val="single" w:color="auto" w:sz="2" w:space="0"/>
              <w:left w:val="single" w:color="auto" w:sz="2" w:space="0"/>
              <w:bottom w:val="single" w:color="auto" w:sz="2" w:space="0"/>
              <w:right w:val="single" w:color="auto" w:sz="2" w:space="0"/>
            </w:tcBorders>
            <w:vAlign w:val="center"/>
          </w:tcPr>
          <w:p w14:paraId="4671F1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650,838.71</w:t>
            </w:r>
          </w:p>
        </w:tc>
      </w:tr>
      <w:tr w14:paraId="7580E5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A72BA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66C061E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407,375.34</w:t>
            </w:r>
          </w:p>
        </w:tc>
        <w:tc>
          <w:tcPr>
            <w:tcW w:w="3213" w:type="dxa"/>
            <w:tcBorders>
              <w:top w:val="single" w:color="auto" w:sz="2" w:space="0"/>
              <w:left w:val="single" w:color="auto" w:sz="2" w:space="0"/>
              <w:bottom w:val="single" w:color="auto" w:sz="2" w:space="0"/>
              <w:right w:val="single" w:color="auto" w:sz="2" w:space="0"/>
            </w:tcBorders>
            <w:vAlign w:val="center"/>
          </w:tcPr>
          <w:p w14:paraId="7E461D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721,542.34</w:t>
            </w:r>
          </w:p>
        </w:tc>
      </w:tr>
      <w:tr w14:paraId="5A1623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BDE78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202C91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2,273,511.82</w:t>
            </w:r>
          </w:p>
        </w:tc>
        <w:tc>
          <w:tcPr>
            <w:tcW w:w="3213" w:type="dxa"/>
            <w:tcBorders>
              <w:top w:val="single" w:color="auto" w:sz="2" w:space="0"/>
              <w:left w:val="single" w:color="auto" w:sz="2" w:space="0"/>
              <w:bottom w:val="single" w:color="auto" w:sz="2" w:space="0"/>
              <w:right w:val="single" w:color="auto" w:sz="2" w:space="0"/>
            </w:tcBorders>
            <w:vAlign w:val="center"/>
          </w:tcPr>
          <w:p w14:paraId="3EFBE0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2,318,719.02</w:t>
            </w:r>
          </w:p>
        </w:tc>
      </w:tr>
      <w:tr w14:paraId="176F70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19E76F">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0DA1A6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574,668.53</w:t>
            </w:r>
          </w:p>
        </w:tc>
        <w:tc>
          <w:tcPr>
            <w:tcW w:w="3213" w:type="dxa"/>
            <w:tcBorders>
              <w:top w:val="single" w:color="auto" w:sz="2" w:space="0"/>
              <w:left w:val="single" w:color="auto" w:sz="2" w:space="0"/>
              <w:bottom w:val="single" w:color="auto" w:sz="2" w:space="0"/>
              <w:right w:val="single" w:color="auto" w:sz="2" w:space="0"/>
            </w:tcBorders>
            <w:vAlign w:val="center"/>
          </w:tcPr>
          <w:p w14:paraId="275B05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620,071.72</w:t>
            </w:r>
          </w:p>
        </w:tc>
      </w:tr>
      <w:tr w14:paraId="7E1EA0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AB3DC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3AB1CDB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127,593.16</w:t>
            </w:r>
          </w:p>
        </w:tc>
        <w:tc>
          <w:tcPr>
            <w:tcW w:w="3213" w:type="dxa"/>
            <w:tcBorders>
              <w:top w:val="single" w:color="auto" w:sz="2" w:space="0"/>
              <w:left w:val="single" w:color="auto" w:sz="2" w:space="0"/>
              <w:bottom w:val="single" w:color="auto" w:sz="2" w:space="0"/>
              <w:right w:val="single" w:color="auto" w:sz="2" w:space="0"/>
            </w:tcBorders>
            <w:vAlign w:val="center"/>
          </w:tcPr>
          <w:p w14:paraId="1EE12C0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232,931.57</w:t>
            </w:r>
          </w:p>
        </w:tc>
      </w:tr>
      <w:tr w14:paraId="15BFA2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D67ADB">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1498D30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1,571,250.13</w:t>
            </w:r>
          </w:p>
        </w:tc>
        <w:tc>
          <w:tcPr>
            <w:tcW w:w="3213" w:type="dxa"/>
            <w:tcBorders>
              <w:top w:val="single" w:color="auto" w:sz="2" w:space="0"/>
              <w:left w:val="single" w:color="auto" w:sz="2" w:space="0"/>
              <w:bottom w:val="single" w:color="auto" w:sz="2" w:space="0"/>
              <w:right w:val="single" w:color="auto" w:sz="2" w:space="0"/>
            </w:tcBorders>
            <w:vAlign w:val="center"/>
          </w:tcPr>
          <w:p w14:paraId="51FE2A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1,465,715.73</w:t>
            </w:r>
          </w:p>
        </w:tc>
      </w:tr>
      <w:tr w14:paraId="1987AE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F5484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0A96EB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89,636,163.10</w:t>
            </w:r>
          </w:p>
        </w:tc>
        <w:tc>
          <w:tcPr>
            <w:tcW w:w="3213" w:type="dxa"/>
            <w:tcBorders>
              <w:top w:val="single" w:color="auto" w:sz="2" w:space="0"/>
              <w:left w:val="single" w:color="auto" w:sz="2" w:space="0"/>
              <w:bottom w:val="single" w:color="auto" w:sz="2" w:space="0"/>
              <w:right w:val="single" w:color="auto" w:sz="2" w:space="0"/>
            </w:tcBorders>
            <w:vAlign w:val="center"/>
          </w:tcPr>
          <w:p w14:paraId="2FC570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74,258,568.67</w:t>
            </w:r>
          </w:p>
        </w:tc>
      </w:tr>
    </w:tbl>
    <w:p w14:paraId="6041113C">
      <w:pPr>
        <w:keepNext/>
        <w:keepLines/>
        <w:spacing w:before="300" w:after="300" w:line="280" w:lineRule="exact"/>
        <w:jc w:val="left"/>
        <w:outlineLvl w:val="3"/>
        <w:rPr>
          <w:rFonts w:ascii="宋体" w:hAnsi="宋体" w:eastAsia="宋体" w:cs="宋体"/>
          <w:b/>
          <w:bCs/>
          <w:color w:val="auto"/>
          <w:sz w:val="21"/>
          <w:szCs w:val="21"/>
        </w:rPr>
      </w:pPr>
      <w:bookmarkStart w:id="90" w:name="_Toc989066"/>
      <w:r>
        <w:rPr>
          <w:rFonts w:ascii="宋体" w:hAnsi="宋体" w:eastAsia="宋体" w:cs="宋体"/>
          <w:b/>
          <w:bCs/>
          <w:color w:val="auto"/>
          <w:sz w:val="21"/>
          <w:szCs w:val="21"/>
        </w:rPr>
        <w:t>（2）按坏账计提方法分类披露</w:t>
      </w:r>
      <w:bookmarkEnd w:id="90"/>
    </w:p>
    <w:p w14:paraId="19E51EF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08A373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AFBC0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3174E7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6BA7E6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609035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432493">
            <w:pPr>
              <w:rPr>
                <w:color w:val="auto"/>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A7FC5E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A64781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6C768C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3B76E9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875D15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743A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18994B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B03286">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7C503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3D9348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59FD44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03E26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0FB7BA">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FE5F28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ECD1BE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5022A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A788EB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642941D">
            <w:pPr>
              <w:rPr>
                <w:color w:val="auto"/>
              </w:rPr>
            </w:pPr>
          </w:p>
        </w:tc>
      </w:tr>
      <w:tr w14:paraId="5A51C3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395E11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按单项计提坏账准备的应收账款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2B5A225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535439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0.71%</w:t>
            </w:r>
          </w:p>
        </w:tc>
        <w:tc>
          <w:tcPr>
            <w:tcW w:w="876" w:type="dxa"/>
            <w:tcBorders>
              <w:top w:val="single" w:color="auto" w:sz="2" w:space="0"/>
              <w:left w:val="single" w:color="auto" w:sz="2" w:space="0"/>
              <w:bottom w:val="single" w:color="auto" w:sz="2" w:space="0"/>
              <w:right w:val="single" w:color="auto" w:sz="2" w:space="0"/>
            </w:tcBorders>
            <w:vAlign w:val="center"/>
          </w:tcPr>
          <w:p w14:paraId="28EAB3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4F0368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DC5B6F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4E709E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230ECE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0.86%</w:t>
            </w:r>
          </w:p>
        </w:tc>
        <w:tc>
          <w:tcPr>
            <w:tcW w:w="876" w:type="dxa"/>
            <w:tcBorders>
              <w:top w:val="single" w:color="auto" w:sz="2" w:space="0"/>
              <w:left w:val="single" w:color="auto" w:sz="2" w:space="0"/>
              <w:bottom w:val="single" w:color="auto" w:sz="2" w:space="0"/>
              <w:right w:val="single" w:color="auto" w:sz="2" w:space="0"/>
            </w:tcBorders>
            <w:vAlign w:val="center"/>
          </w:tcPr>
          <w:p w14:paraId="7E0917C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0C630E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61EC58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5A3B51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6C5DE0">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73734EE">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BC2D242">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E73D9B6">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877E294">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8EEB847">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4A3A19E">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CCFD481">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786A729">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FE38A8F">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DE209AE">
            <w:pPr>
              <w:rPr>
                <w:color w:val="auto"/>
              </w:rPr>
            </w:pPr>
          </w:p>
        </w:tc>
      </w:tr>
      <w:tr w14:paraId="1C8768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F7C2C9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61B60AA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89,001,234.03</w:t>
            </w:r>
          </w:p>
        </w:tc>
        <w:tc>
          <w:tcPr>
            <w:tcW w:w="876" w:type="dxa"/>
            <w:tcBorders>
              <w:top w:val="single" w:color="auto" w:sz="2" w:space="0"/>
              <w:left w:val="single" w:color="auto" w:sz="2" w:space="0"/>
              <w:bottom w:val="single" w:color="auto" w:sz="2" w:space="0"/>
              <w:right w:val="single" w:color="auto" w:sz="2" w:space="0"/>
            </w:tcBorders>
            <w:vAlign w:val="center"/>
          </w:tcPr>
          <w:p w14:paraId="6B03E1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99.29%</w:t>
            </w:r>
          </w:p>
        </w:tc>
        <w:tc>
          <w:tcPr>
            <w:tcW w:w="876" w:type="dxa"/>
            <w:tcBorders>
              <w:top w:val="single" w:color="auto" w:sz="2" w:space="0"/>
              <w:left w:val="single" w:color="auto" w:sz="2" w:space="0"/>
              <w:bottom w:val="single" w:color="auto" w:sz="2" w:space="0"/>
              <w:right w:val="single" w:color="auto" w:sz="2" w:space="0"/>
            </w:tcBorders>
            <w:vAlign w:val="center"/>
          </w:tcPr>
          <w:p w14:paraId="61114AD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6,223,845.12</w:t>
            </w:r>
          </w:p>
        </w:tc>
        <w:tc>
          <w:tcPr>
            <w:tcW w:w="876" w:type="dxa"/>
            <w:tcBorders>
              <w:top w:val="single" w:color="auto" w:sz="2" w:space="0"/>
              <w:left w:val="single" w:color="auto" w:sz="2" w:space="0"/>
              <w:bottom w:val="single" w:color="auto" w:sz="2" w:space="0"/>
              <w:right w:val="single" w:color="auto" w:sz="2" w:space="0"/>
            </w:tcBorders>
            <w:vAlign w:val="center"/>
          </w:tcPr>
          <w:p w14:paraId="2ADC46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6.99%</w:t>
            </w:r>
          </w:p>
        </w:tc>
        <w:tc>
          <w:tcPr>
            <w:tcW w:w="876" w:type="dxa"/>
            <w:tcBorders>
              <w:top w:val="single" w:color="auto" w:sz="2" w:space="0"/>
              <w:left w:val="single" w:color="auto" w:sz="2" w:space="0"/>
              <w:bottom w:val="single" w:color="auto" w:sz="2" w:space="0"/>
              <w:right w:val="single" w:color="auto" w:sz="2" w:space="0"/>
            </w:tcBorders>
            <w:vAlign w:val="center"/>
          </w:tcPr>
          <w:p w14:paraId="5A52DA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82,777,388.91</w:t>
            </w:r>
          </w:p>
        </w:tc>
        <w:tc>
          <w:tcPr>
            <w:tcW w:w="876" w:type="dxa"/>
            <w:tcBorders>
              <w:top w:val="single" w:color="auto" w:sz="2" w:space="0"/>
              <w:left w:val="single" w:color="auto" w:sz="2" w:space="0"/>
              <w:bottom w:val="single" w:color="auto" w:sz="2" w:space="0"/>
              <w:right w:val="single" w:color="auto" w:sz="2" w:space="0"/>
            </w:tcBorders>
            <w:vAlign w:val="center"/>
          </w:tcPr>
          <w:p w14:paraId="1A3D77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73,623,639.60</w:t>
            </w:r>
          </w:p>
        </w:tc>
        <w:tc>
          <w:tcPr>
            <w:tcW w:w="876" w:type="dxa"/>
            <w:tcBorders>
              <w:top w:val="single" w:color="auto" w:sz="2" w:space="0"/>
              <w:left w:val="single" w:color="auto" w:sz="2" w:space="0"/>
              <w:bottom w:val="single" w:color="auto" w:sz="2" w:space="0"/>
              <w:right w:val="single" w:color="auto" w:sz="2" w:space="0"/>
            </w:tcBorders>
            <w:vAlign w:val="center"/>
          </w:tcPr>
          <w:p w14:paraId="09DABF5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99.14%</w:t>
            </w:r>
          </w:p>
        </w:tc>
        <w:tc>
          <w:tcPr>
            <w:tcW w:w="876" w:type="dxa"/>
            <w:tcBorders>
              <w:top w:val="single" w:color="auto" w:sz="2" w:space="0"/>
              <w:left w:val="single" w:color="auto" w:sz="2" w:space="0"/>
              <w:bottom w:val="single" w:color="auto" w:sz="2" w:space="0"/>
              <w:right w:val="single" w:color="auto" w:sz="2" w:space="0"/>
            </w:tcBorders>
            <w:vAlign w:val="center"/>
          </w:tcPr>
          <w:p w14:paraId="0729FEA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5,488,161.42</w:t>
            </w:r>
          </w:p>
        </w:tc>
        <w:tc>
          <w:tcPr>
            <w:tcW w:w="876" w:type="dxa"/>
            <w:tcBorders>
              <w:top w:val="single" w:color="auto" w:sz="2" w:space="0"/>
              <w:left w:val="single" w:color="auto" w:sz="2" w:space="0"/>
              <w:bottom w:val="single" w:color="auto" w:sz="2" w:space="0"/>
              <w:right w:val="single" w:color="auto" w:sz="2" w:space="0"/>
            </w:tcBorders>
            <w:vAlign w:val="center"/>
          </w:tcPr>
          <w:p w14:paraId="641047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7.45%</w:t>
            </w:r>
          </w:p>
        </w:tc>
        <w:tc>
          <w:tcPr>
            <w:tcW w:w="876" w:type="dxa"/>
            <w:tcBorders>
              <w:top w:val="single" w:color="auto" w:sz="2" w:space="0"/>
              <w:left w:val="single" w:color="auto" w:sz="2" w:space="0"/>
              <w:bottom w:val="single" w:color="auto" w:sz="2" w:space="0"/>
              <w:right w:val="single" w:color="auto" w:sz="2" w:space="0"/>
            </w:tcBorders>
            <w:vAlign w:val="center"/>
          </w:tcPr>
          <w:p w14:paraId="618525C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68,135,478.18</w:t>
            </w:r>
          </w:p>
        </w:tc>
      </w:tr>
      <w:tr w14:paraId="2490F3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A25DDE7">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FB3AE57">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911476F">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5889BD5">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9681EFC">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D063B37">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29CFFD8">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A586816">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60682E">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46E7E31">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2F51B52">
            <w:pPr>
              <w:rPr>
                <w:color w:val="auto"/>
              </w:rPr>
            </w:pPr>
          </w:p>
        </w:tc>
      </w:tr>
      <w:tr w14:paraId="7FAF1A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299AF6D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经销及外包推广模式应收款项组合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7C0086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39,476,114.23</w:t>
            </w:r>
          </w:p>
        </w:tc>
        <w:tc>
          <w:tcPr>
            <w:tcW w:w="876" w:type="dxa"/>
            <w:tcBorders>
              <w:top w:val="single" w:color="auto" w:sz="2" w:space="0"/>
              <w:left w:val="single" w:color="auto" w:sz="2" w:space="0"/>
              <w:bottom w:val="single" w:color="auto" w:sz="2" w:space="0"/>
              <w:right w:val="single" w:color="auto" w:sz="2" w:space="0"/>
            </w:tcBorders>
            <w:vAlign w:val="center"/>
          </w:tcPr>
          <w:p w14:paraId="23763C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44.04%</w:t>
            </w:r>
          </w:p>
        </w:tc>
        <w:tc>
          <w:tcPr>
            <w:tcW w:w="876" w:type="dxa"/>
            <w:tcBorders>
              <w:top w:val="single" w:color="auto" w:sz="2" w:space="0"/>
              <w:left w:val="single" w:color="auto" w:sz="2" w:space="0"/>
              <w:bottom w:val="single" w:color="auto" w:sz="2" w:space="0"/>
              <w:right w:val="single" w:color="auto" w:sz="2" w:space="0"/>
            </w:tcBorders>
            <w:vAlign w:val="center"/>
          </w:tcPr>
          <w:p w14:paraId="21D6D38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3,525,356.10</w:t>
            </w:r>
          </w:p>
        </w:tc>
        <w:tc>
          <w:tcPr>
            <w:tcW w:w="876" w:type="dxa"/>
            <w:tcBorders>
              <w:top w:val="single" w:color="auto" w:sz="2" w:space="0"/>
              <w:left w:val="single" w:color="auto" w:sz="2" w:space="0"/>
              <w:bottom w:val="single" w:color="auto" w:sz="2" w:space="0"/>
              <w:right w:val="single" w:color="auto" w:sz="2" w:space="0"/>
            </w:tcBorders>
            <w:vAlign w:val="center"/>
          </w:tcPr>
          <w:p w14:paraId="423FD4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8.93%</w:t>
            </w:r>
          </w:p>
        </w:tc>
        <w:tc>
          <w:tcPr>
            <w:tcW w:w="876" w:type="dxa"/>
            <w:tcBorders>
              <w:top w:val="single" w:color="auto" w:sz="2" w:space="0"/>
              <w:left w:val="single" w:color="auto" w:sz="2" w:space="0"/>
              <w:bottom w:val="single" w:color="auto" w:sz="2" w:space="0"/>
              <w:right w:val="single" w:color="auto" w:sz="2" w:space="0"/>
            </w:tcBorders>
            <w:vAlign w:val="center"/>
          </w:tcPr>
          <w:p w14:paraId="30A32A7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35,950,758.13</w:t>
            </w:r>
          </w:p>
        </w:tc>
        <w:tc>
          <w:tcPr>
            <w:tcW w:w="876" w:type="dxa"/>
            <w:tcBorders>
              <w:top w:val="single" w:color="auto" w:sz="2" w:space="0"/>
              <w:left w:val="single" w:color="auto" w:sz="2" w:space="0"/>
              <w:bottom w:val="single" w:color="auto" w:sz="2" w:space="0"/>
              <w:right w:val="single" w:color="auto" w:sz="2" w:space="0"/>
            </w:tcBorders>
            <w:vAlign w:val="center"/>
          </w:tcPr>
          <w:p w14:paraId="62DD531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40,248,797.66</w:t>
            </w:r>
          </w:p>
        </w:tc>
        <w:tc>
          <w:tcPr>
            <w:tcW w:w="876" w:type="dxa"/>
            <w:tcBorders>
              <w:top w:val="single" w:color="auto" w:sz="2" w:space="0"/>
              <w:left w:val="single" w:color="auto" w:sz="2" w:space="0"/>
              <w:bottom w:val="single" w:color="auto" w:sz="2" w:space="0"/>
              <w:right w:val="single" w:color="auto" w:sz="2" w:space="0"/>
            </w:tcBorders>
            <w:vAlign w:val="center"/>
          </w:tcPr>
          <w:p w14:paraId="5C22C7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54.20%</w:t>
            </w:r>
          </w:p>
        </w:tc>
        <w:tc>
          <w:tcPr>
            <w:tcW w:w="876" w:type="dxa"/>
            <w:tcBorders>
              <w:top w:val="single" w:color="auto" w:sz="2" w:space="0"/>
              <w:left w:val="single" w:color="auto" w:sz="2" w:space="0"/>
              <w:bottom w:val="single" w:color="auto" w:sz="2" w:space="0"/>
              <w:right w:val="single" w:color="auto" w:sz="2" w:space="0"/>
            </w:tcBorders>
            <w:vAlign w:val="center"/>
          </w:tcPr>
          <w:p w14:paraId="781AE48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3,776,291.15</w:t>
            </w:r>
          </w:p>
        </w:tc>
        <w:tc>
          <w:tcPr>
            <w:tcW w:w="876" w:type="dxa"/>
            <w:tcBorders>
              <w:top w:val="single" w:color="auto" w:sz="2" w:space="0"/>
              <w:left w:val="single" w:color="auto" w:sz="2" w:space="0"/>
              <w:bottom w:val="single" w:color="auto" w:sz="2" w:space="0"/>
              <w:right w:val="single" w:color="auto" w:sz="2" w:space="0"/>
            </w:tcBorders>
            <w:vAlign w:val="center"/>
          </w:tcPr>
          <w:p w14:paraId="1D57EE1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9.38%</w:t>
            </w:r>
          </w:p>
        </w:tc>
        <w:tc>
          <w:tcPr>
            <w:tcW w:w="876" w:type="dxa"/>
            <w:tcBorders>
              <w:top w:val="single" w:color="auto" w:sz="2" w:space="0"/>
              <w:left w:val="single" w:color="auto" w:sz="2" w:space="0"/>
              <w:bottom w:val="single" w:color="auto" w:sz="2" w:space="0"/>
              <w:right w:val="single" w:color="auto" w:sz="2" w:space="0"/>
            </w:tcBorders>
            <w:vAlign w:val="center"/>
          </w:tcPr>
          <w:p w14:paraId="53E2DA1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36,472,506.51</w:t>
            </w:r>
          </w:p>
        </w:tc>
      </w:tr>
      <w:tr w14:paraId="31967C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629B30D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自主推广模式应收款项组合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4E7BF75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46,391,943.35</w:t>
            </w:r>
          </w:p>
        </w:tc>
        <w:tc>
          <w:tcPr>
            <w:tcW w:w="876" w:type="dxa"/>
            <w:tcBorders>
              <w:top w:val="single" w:color="auto" w:sz="2" w:space="0"/>
              <w:left w:val="single" w:color="auto" w:sz="2" w:space="0"/>
              <w:bottom w:val="single" w:color="auto" w:sz="2" w:space="0"/>
              <w:right w:val="single" w:color="auto" w:sz="2" w:space="0"/>
            </w:tcBorders>
            <w:vAlign w:val="center"/>
          </w:tcPr>
          <w:p w14:paraId="2B33688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51.76%</w:t>
            </w:r>
          </w:p>
        </w:tc>
        <w:tc>
          <w:tcPr>
            <w:tcW w:w="876" w:type="dxa"/>
            <w:tcBorders>
              <w:top w:val="single" w:color="auto" w:sz="2" w:space="0"/>
              <w:left w:val="single" w:color="auto" w:sz="2" w:space="0"/>
              <w:bottom w:val="single" w:color="auto" w:sz="2" w:space="0"/>
              <w:right w:val="single" w:color="auto" w:sz="2" w:space="0"/>
            </w:tcBorders>
            <w:vAlign w:val="center"/>
          </w:tcPr>
          <w:p w14:paraId="18CA6F0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2,541,830.20</w:t>
            </w:r>
          </w:p>
        </w:tc>
        <w:tc>
          <w:tcPr>
            <w:tcW w:w="876" w:type="dxa"/>
            <w:tcBorders>
              <w:top w:val="single" w:color="auto" w:sz="2" w:space="0"/>
              <w:left w:val="single" w:color="auto" w:sz="2" w:space="0"/>
              <w:bottom w:val="single" w:color="auto" w:sz="2" w:space="0"/>
              <w:right w:val="single" w:color="auto" w:sz="2" w:space="0"/>
            </w:tcBorders>
            <w:vAlign w:val="center"/>
          </w:tcPr>
          <w:p w14:paraId="057540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5.48%</w:t>
            </w:r>
          </w:p>
        </w:tc>
        <w:tc>
          <w:tcPr>
            <w:tcW w:w="876" w:type="dxa"/>
            <w:tcBorders>
              <w:top w:val="single" w:color="auto" w:sz="2" w:space="0"/>
              <w:left w:val="single" w:color="auto" w:sz="2" w:space="0"/>
              <w:bottom w:val="single" w:color="auto" w:sz="2" w:space="0"/>
              <w:right w:val="single" w:color="auto" w:sz="2" w:space="0"/>
            </w:tcBorders>
            <w:vAlign w:val="center"/>
          </w:tcPr>
          <w:p w14:paraId="62EEC16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43,850,113.15</w:t>
            </w:r>
          </w:p>
        </w:tc>
        <w:tc>
          <w:tcPr>
            <w:tcW w:w="876" w:type="dxa"/>
            <w:tcBorders>
              <w:top w:val="single" w:color="auto" w:sz="2" w:space="0"/>
              <w:left w:val="single" w:color="auto" w:sz="2" w:space="0"/>
              <w:bottom w:val="single" w:color="auto" w:sz="2" w:space="0"/>
              <w:right w:val="single" w:color="auto" w:sz="2" w:space="0"/>
            </w:tcBorders>
            <w:vAlign w:val="center"/>
          </w:tcPr>
          <w:p w14:paraId="6D8021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29,986,760.87</w:t>
            </w:r>
          </w:p>
        </w:tc>
        <w:tc>
          <w:tcPr>
            <w:tcW w:w="876" w:type="dxa"/>
            <w:tcBorders>
              <w:top w:val="single" w:color="auto" w:sz="2" w:space="0"/>
              <w:left w:val="single" w:color="auto" w:sz="2" w:space="0"/>
              <w:bottom w:val="single" w:color="auto" w:sz="2" w:space="0"/>
              <w:right w:val="single" w:color="auto" w:sz="2" w:space="0"/>
            </w:tcBorders>
            <w:vAlign w:val="center"/>
          </w:tcPr>
          <w:p w14:paraId="50D8B70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40.38%</w:t>
            </w:r>
          </w:p>
        </w:tc>
        <w:tc>
          <w:tcPr>
            <w:tcW w:w="876" w:type="dxa"/>
            <w:tcBorders>
              <w:top w:val="single" w:color="auto" w:sz="2" w:space="0"/>
              <w:left w:val="single" w:color="auto" w:sz="2" w:space="0"/>
              <w:bottom w:val="single" w:color="auto" w:sz="2" w:space="0"/>
              <w:right w:val="single" w:color="auto" w:sz="2" w:space="0"/>
            </w:tcBorders>
            <w:vAlign w:val="center"/>
          </w:tcPr>
          <w:p w14:paraId="0866BD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1,542,466.21</w:t>
            </w:r>
          </w:p>
        </w:tc>
        <w:tc>
          <w:tcPr>
            <w:tcW w:w="876" w:type="dxa"/>
            <w:tcBorders>
              <w:top w:val="single" w:color="auto" w:sz="2" w:space="0"/>
              <w:left w:val="single" w:color="auto" w:sz="2" w:space="0"/>
              <w:bottom w:val="single" w:color="auto" w:sz="2" w:space="0"/>
              <w:right w:val="single" w:color="auto" w:sz="2" w:space="0"/>
            </w:tcBorders>
            <w:vAlign w:val="center"/>
          </w:tcPr>
          <w:p w14:paraId="2CA70D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5.14%</w:t>
            </w:r>
          </w:p>
        </w:tc>
        <w:tc>
          <w:tcPr>
            <w:tcW w:w="876" w:type="dxa"/>
            <w:tcBorders>
              <w:top w:val="single" w:color="auto" w:sz="2" w:space="0"/>
              <w:left w:val="single" w:color="auto" w:sz="2" w:space="0"/>
              <w:bottom w:val="single" w:color="auto" w:sz="2" w:space="0"/>
              <w:right w:val="single" w:color="auto" w:sz="2" w:space="0"/>
            </w:tcBorders>
            <w:vAlign w:val="center"/>
          </w:tcPr>
          <w:p w14:paraId="6B2393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28,444,294.66</w:t>
            </w:r>
          </w:p>
        </w:tc>
      </w:tr>
      <w:tr w14:paraId="39EE78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2697204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政府集采模式应收款项组合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0FB47C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137,510.42</w:t>
            </w:r>
          </w:p>
        </w:tc>
        <w:tc>
          <w:tcPr>
            <w:tcW w:w="876" w:type="dxa"/>
            <w:tcBorders>
              <w:top w:val="single" w:color="auto" w:sz="2" w:space="0"/>
              <w:left w:val="single" w:color="auto" w:sz="2" w:space="0"/>
              <w:bottom w:val="single" w:color="auto" w:sz="2" w:space="0"/>
              <w:right w:val="single" w:color="auto" w:sz="2" w:space="0"/>
            </w:tcBorders>
            <w:vAlign w:val="center"/>
          </w:tcPr>
          <w:p w14:paraId="47976F7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0.15%</w:t>
            </w:r>
          </w:p>
        </w:tc>
        <w:tc>
          <w:tcPr>
            <w:tcW w:w="876" w:type="dxa"/>
            <w:tcBorders>
              <w:top w:val="single" w:color="auto" w:sz="2" w:space="0"/>
              <w:left w:val="single" w:color="auto" w:sz="2" w:space="0"/>
              <w:bottom w:val="single" w:color="auto" w:sz="2" w:space="0"/>
              <w:right w:val="single" w:color="auto" w:sz="2" w:space="0"/>
            </w:tcBorders>
            <w:vAlign w:val="center"/>
          </w:tcPr>
          <w:p w14:paraId="70CF63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6,875.52</w:t>
            </w:r>
          </w:p>
        </w:tc>
        <w:tc>
          <w:tcPr>
            <w:tcW w:w="876" w:type="dxa"/>
            <w:tcBorders>
              <w:top w:val="single" w:color="auto" w:sz="2" w:space="0"/>
              <w:left w:val="single" w:color="auto" w:sz="2" w:space="0"/>
              <w:bottom w:val="single" w:color="auto" w:sz="2" w:space="0"/>
              <w:right w:val="single" w:color="auto" w:sz="2" w:space="0"/>
            </w:tcBorders>
            <w:vAlign w:val="center"/>
          </w:tcPr>
          <w:p w14:paraId="550331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7251155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130,634.90</w:t>
            </w:r>
          </w:p>
        </w:tc>
        <w:tc>
          <w:tcPr>
            <w:tcW w:w="876" w:type="dxa"/>
            <w:tcBorders>
              <w:top w:val="single" w:color="auto" w:sz="2" w:space="0"/>
              <w:left w:val="single" w:color="auto" w:sz="2" w:space="0"/>
              <w:bottom w:val="single" w:color="auto" w:sz="2" w:space="0"/>
              <w:right w:val="single" w:color="auto" w:sz="2" w:space="0"/>
            </w:tcBorders>
            <w:vAlign w:val="center"/>
          </w:tcPr>
          <w:p w14:paraId="07BCBE7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323,287.00</w:t>
            </w:r>
          </w:p>
        </w:tc>
        <w:tc>
          <w:tcPr>
            <w:tcW w:w="876" w:type="dxa"/>
            <w:tcBorders>
              <w:top w:val="single" w:color="auto" w:sz="2" w:space="0"/>
              <w:left w:val="single" w:color="auto" w:sz="2" w:space="0"/>
              <w:bottom w:val="single" w:color="auto" w:sz="2" w:space="0"/>
              <w:right w:val="single" w:color="auto" w:sz="2" w:space="0"/>
            </w:tcBorders>
            <w:vAlign w:val="center"/>
          </w:tcPr>
          <w:p w14:paraId="01AA38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0.44%</w:t>
            </w:r>
          </w:p>
        </w:tc>
        <w:tc>
          <w:tcPr>
            <w:tcW w:w="876" w:type="dxa"/>
            <w:tcBorders>
              <w:top w:val="single" w:color="auto" w:sz="2" w:space="0"/>
              <w:left w:val="single" w:color="auto" w:sz="2" w:space="0"/>
              <w:bottom w:val="single" w:color="auto" w:sz="2" w:space="0"/>
              <w:right w:val="single" w:color="auto" w:sz="2" w:space="0"/>
            </w:tcBorders>
            <w:vAlign w:val="center"/>
          </w:tcPr>
          <w:p w14:paraId="401B420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16,164.35</w:t>
            </w:r>
          </w:p>
        </w:tc>
        <w:tc>
          <w:tcPr>
            <w:tcW w:w="876" w:type="dxa"/>
            <w:tcBorders>
              <w:top w:val="single" w:color="auto" w:sz="2" w:space="0"/>
              <w:left w:val="single" w:color="auto" w:sz="2" w:space="0"/>
              <w:bottom w:val="single" w:color="auto" w:sz="2" w:space="0"/>
              <w:right w:val="single" w:color="auto" w:sz="2" w:space="0"/>
            </w:tcBorders>
            <w:vAlign w:val="center"/>
          </w:tcPr>
          <w:p w14:paraId="61D1B6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42F618D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307,122.65</w:t>
            </w:r>
          </w:p>
        </w:tc>
      </w:tr>
      <w:tr w14:paraId="3AB7D2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1D7BF33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876" w:type="dxa"/>
            <w:tcBorders>
              <w:top w:val="single" w:color="auto" w:sz="2" w:space="0"/>
              <w:left w:val="single" w:color="auto" w:sz="2" w:space="0"/>
              <w:bottom w:val="single" w:color="auto" w:sz="2" w:space="0"/>
              <w:right w:val="single" w:color="auto" w:sz="2" w:space="0"/>
            </w:tcBorders>
            <w:vAlign w:val="center"/>
          </w:tcPr>
          <w:p w14:paraId="0FDA8C0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2,995,666.03</w:t>
            </w:r>
          </w:p>
        </w:tc>
        <w:tc>
          <w:tcPr>
            <w:tcW w:w="876" w:type="dxa"/>
            <w:tcBorders>
              <w:top w:val="single" w:color="auto" w:sz="2" w:space="0"/>
              <w:left w:val="single" w:color="auto" w:sz="2" w:space="0"/>
              <w:bottom w:val="single" w:color="auto" w:sz="2" w:space="0"/>
              <w:right w:val="single" w:color="auto" w:sz="2" w:space="0"/>
            </w:tcBorders>
            <w:vAlign w:val="center"/>
          </w:tcPr>
          <w:p w14:paraId="5B7371E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3.34%</w:t>
            </w:r>
          </w:p>
        </w:tc>
        <w:tc>
          <w:tcPr>
            <w:tcW w:w="876" w:type="dxa"/>
            <w:tcBorders>
              <w:top w:val="single" w:color="auto" w:sz="2" w:space="0"/>
              <w:left w:val="single" w:color="auto" w:sz="2" w:space="0"/>
              <w:bottom w:val="single" w:color="auto" w:sz="2" w:space="0"/>
              <w:right w:val="single" w:color="auto" w:sz="2" w:space="0"/>
            </w:tcBorders>
            <w:vAlign w:val="center"/>
          </w:tcPr>
          <w:p w14:paraId="77E40A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149,783.30</w:t>
            </w:r>
          </w:p>
        </w:tc>
        <w:tc>
          <w:tcPr>
            <w:tcW w:w="876" w:type="dxa"/>
            <w:tcBorders>
              <w:top w:val="single" w:color="auto" w:sz="2" w:space="0"/>
              <w:left w:val="single" w:color="auto" w:sz="2" w:space="0"/>
              <w:bottom w:val="single" w:color="auto" w:sz="2" w:space="0"/>
              <w:right w:val="single" w:color="auto" w:sz="2" w:space="0"/>
            </w:tcBorders>
            <w:vAlign w:val="center"/>
          </w:tcPr>
          <w:p w14:paraId="7A3674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732C6B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2,845,882.73</w:t>
            </w:r>
          </w:p>
        </w:tc>
        <w:tc>
          <w:tcPr>
            <w:tcW w:w="876" w:type="dxa"/>
            <w:tcBorders>
              <w:top w:val="single" w:color="auto" w:sz="2" w:space="0"/>
              <w:left w:val="single" w:color="auto" w:sz="2" w:space="0"/>
              <w:bottom w:val="single" w:color="auto" w:sz="2" w:space="0"/>
              <w:right w:val="single" w:color="auto" w:sz="2" w:space="0"/>
            </w:tcBorders>
            <w:vAlign w:val="center"/>
          </w:tcPr>
          <w:p w14:paraId="1632558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3,064,794.07</w:t>
            </w:r>
          </w:p>
        </w:tc>
        <w:tc>
          <w:tcPr>
            <w:tcW w:w="876" w:type="dxa"/>
            <w:tcBorders>
              <w:top w:val="single" w:color="auto" w:sz="2" w:space="0"/>
              <w:left w:val="single" w:color="auto" w:sz="2" w:space="0"/>
              <w:bottom w:val="single" w:color="auto" w:sz="2" w:space="0"/>
              <w:right w:val="single" w:color="auto" w:sz="2" w:space="0"/>
            </w:tcBorders>
            <w:vAlign w:val="center"/>
          </w:tcPr>
          <w:p w14:paraId="1FA8F9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4.13%</w:t>
            </w:r>
          </w:p>
        </w:tc>
        <w:tc>
          <w:tcPr>
            <w:tcW w:w="876" w:type="dxa"/>
            <w:tcBorders>
              <w:top w:val="single" w:color="auto" w:sz="2" w:space="0"/>
              <w:left w:val="single" w:color="auto" w:sz="2" w:space="0"/>
              <w:bottom w:val="single" w:color="auto" w:sz="2" w:space="0"/>
              <w:right w:val="single" w:color="auto" w:sz="2" w:space="0"/>
            </w:tcBorders>
            <w:vAlign w:val="center"/>
          </w:tcPr>
          <w:p w14:paraId="0480B9B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153,239.70</w:t>
            </w:r>
          </w:p>
        </w:tc>
        <w:tc>
          <w:tcPr>
            <w:tcW w:w="876" w:type="dxa"/>
            <w:tcBorders>
              <w:top w:val="single" w:color="auto" w:sz="2" w:space="0"/>
              <w:left w:val="single" w:color="auto" w:sz="2" w:space="0"/>
              <w:bottom w:val="single" w:color="auto" w:sz="2" w:space="0"/>
              <w:right w:val="single" w:color="auto" w:sz="2" w:space="0"/>
            </w:tcBorders>
            <w:vAlign w:val="center"/>
          </w:tcPr>
          <w:p w14:paraId="46DFDC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53117C5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2,911,554.37</w:t>
            </w:r>
          </w:p>
        </w:tc>
      </w:tr>
      <w:tr w14:paraId="122EB1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EFC329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11C3D4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89,636,163.10</w:t>
            </w:r>
          </w:p>
        </w:tc>
        <w:tc>
          <w:tcPr>
            <w:tcW w:w="876" w:type="dxa"/>
            <w:tcBorders>
              <w:top w:val="single" w:color="auto" w:sz="2" w:space="0"/>
              <w:left w:val="single" w:color="auto" w:sz="2" w:space="0"/>
              <w:bottom w:val="single" w:color="auto" w:sz="2" w:space="0"/>
              <w:right w:val="single" w:color="auto" w:sz="2" w:space="0"/>
            </w:tcBorders>
            <w:vAlign w:val="center"/>
          </w:tcPr>
          <w:p w14:paraId="0D1321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7E2665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6,858,774.19</w:t>
            </w:r>
          </w:p>
        </w:tc>
        <w:tc>
          <w:tcPr>
            <w:tcW w:w="876" w:type="dxa"/>
            <w:tcBorders>
              <w:top w:val="single" w:color="auto" w:sz="2" w:space="0"/>
              <w:left w:val="single" w:color="auto" w:sz="2" w:space="0"/>
              <w:bottom w:val="single" w:color="auto" w:sz="2" w:space="0"/>
              <w:right w:val="single" w:color="auto" w:sz="2" w:space="0"/>
            </w:tcBorders>
            <w:vAlign w:val="center"/>
          </w:tcPr>
          <w:p w14:paraId="14D9FD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7.65%</w:t>
            </w:r>
          </w:p>
        </w:tc>
        <w:tc>
          <w:tcPr>
            <w:tcW w:w="876" w:type="dxa"/>
            <w:tcBorders>
              <w:top w:val="single" w:color="auto" w:sz="2" w:space="0"/>
              <w:left w:val="single" w:color="auto" w:sz="2" w:space="0"/>
              <w:bottom w:val="single" w:color="auto" w:sz="2" w:space="0"/>
              <w:right w:val="single" w:color="auto" w:sz="2" w:space="0"/>
            </w:tcBorders>
            <w:vAlign w:val="center"/>
          </w:tcPr>
          <w:p w14:paraId="168E96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82,777,388.91</w:t>
            </w:r>
          </w:p>
        </w:tc>
        <w:tc>
          <w:tcPr>
            <w:tcW w:w="876" w:type="dxa"/>
            <w:tcBorders>
              <w:top w:val="single" w:color="auto" w:sz="2" w:space="0"/>
              <w:left w:val="single" w:color="auto" w:sz="2" w:space="0"/>
              <w:bottom w:val="single" w:color="auto" w:sz="2" w:space="0"/>
              <w:right w:val="single" w:color="auto" w:sz="2" w:space="0"/>
            </w:tcBorders>
            <w:vAlign w:val="center"/>
          </w:tcPr>
          <w:p w14:paraId="632944C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74,258,568.67</w:t>
            </w:r>
          </w:p>
        </w:tc>
        <w:tc>
          <w:tcPr>
            <w:tcW w:w="876" w:type="dxa"/>
            <w:tcBorders>
              <w:top w:val="single" w:color="auto" w:sz="2" w:space="0"/>
              <w:left w:val="single" w:color="auto" w:sz="2" w:space="0"/>
              <w:bottom w:val="single" w:color="auto" w:sz="2" w:space="0"/>
              <w:right w:val="single" w:color="auto" w:sz="2" w:space="0"/>
            </w:tcBorders>
            <w:vAlign w:val="center"/>
          </w:tcPr>
          <w:p w14:paraId="225E9B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07DC23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6,123,090.49</w:t>
            </w:r>
          </w:p>
        </w:tc>
        <w:tc>
          <w:tcPr>
            <w:tcW w:w="876" w:type="dxa"/>
            <w:tcBorders>
              <w:top w:val="single" w:color="auto" w:sz="2" w:space="0"/>
              <w:left w:val="single" w:color="auto" w:sz="2" w:space="0"/>
              <w:bottom w:val="single" w:color="auto" w:sz="2" w:space="0"/>
              <w:right w:val="single" w:color="auto" w:sz="2" w:space="0"/>
            </w:tcBorders>
            <w:vAlign w:val="center"/>
          </w:tcPr>
          <w:p w14:paraId="611C62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8.25%</w:t>
            </w:r>
          </w:p>
        </w:tc>
        <w:tc>
          <w:tcPr>
            <w:tcW w:w="876" w:type="dxa"/>
            <w:tcBorders>
              <w:top w:val="single" w:color="auto" w:sz="2" w:space="0"/>
              <w:left w:val="single" w:color="auto" w:sz="2" w:space="0"/>
              <w:bottom w:val="single" w:color="auto" w:sz="2" w:space="0"/>
              <w:right w:val="single" w:color="auto" w:sz="2" w:space="0"/>
            </w:tcBorders>
            <w:vAlign w:val="center"/>
          </w:tcPr>
          <w:p w14:paraId="029FE6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68,135,478.18</w:t>
            </w:r>
          </w:p>
        </w:tc>
      </w:tr>
    </w:tbl>
    <w:p w14:paraId="3707E8C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按单项计提坏账准备类别名称：</w:t>
      </w:r>
    </w:p>
    <w:p w14:paraId="6BB5337B">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16F03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15DC7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6E89B8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F17038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78318B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C9E5C74">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BF260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C812F8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4119C3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BD608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2A3F4C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A4C2CF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计提理由</w:t>
            </w:r>
          </w:p>
        </w:tc>
      </w:tr>
      <w:tr w14:paraId="00FFE2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56640C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广东康爱多数字健康科技有限公司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2BDD96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3FCADB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6B9A742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038D9D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6D48D6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55F5FB4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预计无法收回</w:t>
            </w:r>
          </w:p>
        </w:tc>
      </w:tr>
      <w:tr w14:paraId="5F70AE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3BE9D4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单笔金额小于10万元的客户</w:t>
            </w:r>
          </w:p>
        </w:tc>
        <w:tc>
          <w:tcPr>
            <w:tcW w:w="1377" w:type="dxa"/>
            <w:tcBorders>
              <w:top w:val="single" w:color="auto" w:sz="2" w:space="0"/>
              <w:left w:val="single" w:color="auto" w:sz="2" w:space="0"/>
              <w:bottom w:val="single" w:color="auto" w:sz="2" w:space="0"/>
              <w:right w:val="single" w:color="auto" w:sz="2" w:space="0"/>
            </w:tcBorders>
            <w:vAlign w:val="center"/>
          </w:tcPr>
          <w:p w14:paraId="5059D98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12B7801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461EB7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67A7D3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47BBC16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42BDE1B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预计无法收回</w:t>
            </w:r>
          </w:p>
        </w:tc>
      </w:tr>
      <w:tr w14:paraId="574043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500CA3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308C7FA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1377" w:type="dxa"/>
            <w:tcBorders>
              <w:top w:val="single" w:color="auto" w:sz="2" w:space="0"/>
              <w:left w:val="single" w:color="auto" w:sz="2" w:space="0"/>
              <w:bottom w:val="single" w:color="auto" w:sz="2" w:space="0"/>
              <w:right w:val="single" w:color="auto" w:sz="2" w:space="0"/>
            </w:tcBorders>
            <w:vAlign w:val="center"/>
          </w:tcPr>
          <w:p w14:paraId="6C8D4CA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1377" w:type="dxa"/>
            <w:tcBorders>
              <w:top w:val="single" w:color="auto" w:sz="2" w:space="0"/>
              <w:left w:val="single" w:color="auto" w:sz="2" w:space="0"/>
              <w:bottom w:val="single" w:color="auto" w:sz="2" w:space="0"/>
              <w:right w:val="single" w:color="auto" w:sz="2" w:space="0"/>
            </w:tcBorders>
            <w:vAlign w:val="center"/>
          </w:tcPr>
          <w:p w14:paraId="628E60A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1377" w:type="dxa"/>
            <w:tcBorders>
              <w:top w:val="single" w:color="auto" w:sz="2" w:space="0"/>
              <w:left w:val="single" w:color="auto" w:sz="2" w:space="0"/>
              <w:bottom w:val="single" w:color="auto" w:sz="2" w:space="0"/>
              <w:right w:val="single" w:color="auto" w:sz="2" w:space="0"/>
            </w:tcBorders>
            <w:vAlign w:val="center"/>
          </w:tcPr>
          <w:p w14:paraId="04D5CF6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AC572C6">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FFA718F">
            <w:pPr>
              <w:rPr>
                <w:color w:val="auto"/>
              </w:rPr>
            </w:pPr>
          </w:p>
        </w:tc>
      </w:tr>
    </w:tbl>
    <w:p w14:paraId="085E439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按组合计提坏账准备类别名称：（1）经销及外包推广模式应收款项组合</w:t>
      </w:r>
    </w:p>
    <w:p w14:paraId="20C72DF6">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A7570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810A2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E939CE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46C453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4701520">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66E42E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83D11B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E0574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22E6C2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4CA4B7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4B21B22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37,064,877.37</w:t>
            </w:r>
          </w:p>
        </w:tc>
        <w:tc>
          <w:tcPr>
            <w:tcW w:w="2410" w:type="dxa"/>
            <w:tcBorders>
              <w:top w:val="single" w:color="auto" w:sz="2" w:space="0"/>
              <w:left w:val="single" w:color="auto" w:sz="2" w:space="0"/>
              <w:bottom w:val="single" w:color="auto" w:sz="2" w:space="0"/>
              <w:right w:val="single" w:color="auto" w:sz="2" w:space="0"/>
            </w:tcBorders>
            <w:vAlign w:val="center"/>
          </w:tcPr>
          <w:p w14:paraId="29AEB2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1,853,243.87</w:t>
            </w:r>
          </w:p>
        </w:tc>
        <w:tc>
          <w:tcPr>
            <w:tcW w:w="2410" w:type="dxa"/>
            <w:tcBorders>
              <w:top w:val="single" w:color="auto" w:sz="2" w:space="0"/>
              <w:left w:val="single" w:color="auto" w:sz="2" w:space="0"/>
              <w:bottom w:val="single" w:color="auto" w:sz="2" w:space="0"/>
              <w:right w:val="single" w:color="auto" w:sz="2" w:space="0"/>
            </w:tcBorders>
            <w:vAlign w:val="center"/>
          </w:tcPr>
          <w:p w14:paraId="648B21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r>
      <w:tr w14:paraId="7607B6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7A2D0A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4C6A12C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471,060.98</w:t>
            </w:r>
          </w:p>
        </w:tc>
        <w:tc>
          <w:tcPr>
            <w:tcW w:w="2410" w:type="dxa"/>
            <w:tcBorders>
              <w:top w:val="single" w:color="auto" w:sz="2" w:space="0"/>
              <w:left w:val="single" w:color="auto" w:sz="2" w:space="0"/>
              <w:bottom w:val="single" w:color="auto" w:sz="2" w:space="0"/>
              <w:right w:val="single" w:color="auto" w:sz="2" w:space="0"/>
            </w:tcBorders>
            <w:vAlign w:val="center"/>
          </w:tcPr>
          <w:p w14:paraId="7707A32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70,659.15</w:t>
            </w:r>
          </w:p>
        </w:tc>
        <w:tc>
          <w:tcPr>
            <w:tcW w:w="2410" w:type="dxa"/>
            <w:tcBorders>
              <w:top w:val="single" w:color="auto" w:sz="2" w:space="0"/>
              <w:left w:val="single" w:color="auto" w:sz="2" w:space="0"/>
              <w:bottom w:val="single" w:color="auto" w:sz="2" w:space="0"/>
              <w:right w:val="single" w:color="auto" w:sz="2" w:space="0"/>
            </w:tcBorders>
            <w:vAlign w:val="center"/>
          </w:tcPr>
          <w:p w14:paraId="1346D6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w:t>
            </w:r>
          </w:p>
        </w:tc>
      </w:tr>
      <w:tr w14:paraId="53A48F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1C1596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60224E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365,256.90</w:t>
            </w:r>
          </w:p>
        </w:tc>
        <w:tc>
          <w:tcPr>
            <w:tcW w:w="2410" w:type="dxa"/>
            <w:tcBorders>
              <w:top w:val="single" w:color="auto" w:sz="2" w:space="0"/>
              <w:left w:val="single" w:color="auto" w:sz="2" w:space="0"/>
              <w:bottom w:val="single" w:color="auto" w:sz="2" w:space="0"/>
              <w:right w:val="single" w:color="auto" w:sz="2" w:space="0"/>
            </w:tcBorders>
            <w:vAlign w:val="center"/>
          </w:tcPr>
          <w:p w14:paraId="3DFEF9D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109,577.07</w:t>
            </w:r>
          </w:p>
        </w:tc>
        <w:tc>
          <w:tcPr>
            <w:tcW w:w="2410" w:type="dxa"/>
            <w:tcBorders>
              <w:top w:val="single" w:color="auto" w:sz="2" w:space="0"/>
              <w:left w:val="single" w:color="auto" w:sz="2" w:space="0"/>
              <w:bottom w:val="single" w:color="auto" w:sz="2" w:space="0"/>
              <w:right w:val="single" w:color="auto" w:sz="2" w:space="0"/>
            </w:tcBorders>
            <w:vAlign w:val="center"/>
          </w:tcPr>
          <w:p w14:paraId="16A909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w:t>
            </w:r>
          </w:p>
        </w:tc>
      </w:tr>
      <w:tr w14:paraId="73CA19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F2E3F0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10E8A14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189,878.53</w:t>
            </w:r>
          </w:p>
        </w:tc>
        <w:tc>
          <w:tcPr>
            <w:tcW w:w="2410" w:type="dxa"/>
            <w:tcBorders>
              <w:top w:val="single" w:color="auto" w:sz="2" w:space="0"/>
              <w:left w:val="single" w:color="auto" w:sz="2" w:space="0"/>
              <w:bottom w:val="single" w:color="auto" w:sz="2" w:space="0"/>
              <w:right w:val="single" w:color="auto" w:sz="2" w:space="0"/>
            </w:tcBorders>
            <w:vAlign w:val="center"/>
          </w:tcPr>
          <w:p w14:paraId="4DE27CD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113,927.12</w:t>
            </w:r>
          </w:p>
        </w:tc>
        <w:tc>
          <w:tcPr>
            <w:tcW w:w="2410" w:type="dxa"/>
            <w:tcBorders>
              <w:top w:val="single" w:color="auto" w:sz="2" w:space="0"/>
              <w:left w:val="single" w:color="auto" w:sz="2" w:space="0"/>
              <w:bottom w:val="single" w:color="auto" w:sz="2" w:space="0"/>
              <w:right w:val="single" w:color="auto" w:sz="2" w:space="0"/>
            </w:tcBorders>
            <w:vAlign w:val="center"/>
          </w:tcPr>
          <w:p w14:paraId="1EA195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60.00%</w:t>
            </w:r>
          </w:p>
        </w:tc>
      </w:tr>
      <w:tr w14:paraId="75E1E1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775F62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46B8709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70,915.59</w:t>
            </w:r>
          </w:p>
        </w:tc>
        <w:tc>
          <w:tcPr>
            <w:tcW w:w="2410" w:type="dxa"/>
            <w:tcBorders>
              <w:top w:val="single" w:color="auto" w:sz="2" w:space="0"/>
              <w:left w:val="single" w:color="auto" w:sz="2" w:space="0"/>
              <w:bottom w:val="single" w:color="auto" w:sz="2" w:space="0"/>
              <w:right w:val="single" w:color="auto" w:sz="2" w:space="0"/>
            </w:tcBorders>
            <w:vAlign w:val="center"/>
          </w:tcPr>
          <w:p w14:paraId="193A39A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63,824.03</w:t>
            </w:r>
          </w:p>
        </w:tc>
        <w:tc>
          <w:tcPr>
            <w:tcW w:w="2410" w:type="dxa"/>
            <w:tcBorders>
              <w:top w:val="single" w:color="auto" w:sz="2" w:space="0"/>
              <w:left w:val="single" w:color="auto" w:sz="2" w:space="0"/>
              <w:bottom w:val="single" w:color="auto" w:sz="2" w:space="0"/>
              <w:right w:val="single" w:color="auto" w:sz="2" w:space="0"/>
            </w:tcBorders>
            <w:vAlign w:val="center"/>
          </w:tcPr>
          <w:p w14:paraId="145385C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90.00%</w:t>
            </w:r>
          </w:p>
        </w:tc>
      </w:tr>
      <w:tr w14:paraId="08986A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D007FA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3F68E0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1,314,124.86</w:t>
            </w:r>
          </w:p>
        </w:tc>
        <w:tc>
          <w:tcPr>
            <w:tcW w:w="2410" w:type="dxa"/>
            <w:tcBorders>
              <w:top w:val="single" w:color="auto" w:sz="2" w:space="0"/>
              <w:left w:val="single" w:color="auto" w:sz="2" w:space="0"/>
              <w:bottom w:val="single" w:color="auto" w:sz="2" w:space="0"/>
              <w:right w:val="single" w:color="auto" w:sz="2" w:space="0"/>
            </w:tcBorders>
            <w:vAlign w:val="center"/>
          </w:tcPr>
          <w:p w14:paraId="09BB6AF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1,314,124.86</w:t>
            </w:r>
          </w:p>
        </w:tc>
        <w:tc>
          <w:tcPr>
            <w:tcW w:w="2410" w:type="dxa"/>
            <w:tcBorders>
              <w:top w:val="single" w:color="auto" w:sz="2" w:space="0"/>
              <w:left w:val="single" w:color="auto" w:sz="2" w:space="0"/>
              <w:bottom w:val="single" w:color="auto" w:sz="2" w:space="0"/>
              <w:right w:val="single" w:color="auto" w:sz="2" w:space="0"/>
            </w:tcBorders>
            <w:vAlign w:val="center"/>
          </w:tcPr>
          <w:p w14:paraId="66A19DA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r>
      <w:tr w14:paraId="1CEBAD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63A694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0530010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39,476,114.23</w:t>
            </w:r>
          </w:p>
        </w:tc>
        <w:tc>
          <w:tcPr>
            <w:tcW w:w="2410" w:type="dxa"/>
            <w:tcBorders>
              <w:top w:val="single" w:color="auto" w:sz="2" w:space="0"/>
              <w:left w:val="single" w:color="auto" w:sz="2" w:space="0"/>
              <w:bottom w:val="single" w:color="auto" w:sz="2" w:space="0"/>
              <w:right w:val="single" w:color="auto" w:sz="2" w:space="0"/>
            </w:tcBorders>
            <w:vAlign w:val="center"/>
          </w:tcPr>
          <w:p w14:paraId="57DC08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3,525,356.10</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CB4A9A7">
            <w:pPr>
              <w:rPr>
                <w:color w:val="auto"/>
              </w:rPr>
            </w:pPr>
          </w:p>
        </w:tc>
      </w:tr>
    </w:tbl>
    <w:p w14:paraId="47BD248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1945403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按组合计提坏账准备类别名称：（2）</w:t>
      </w:r>
      <w:r>
        <w:rPr>
          <w:rFonts w:ascii="宋体" w:hAnsi="宋体" w:eastAsia="宋体" w:cs="宋体"/>
          <w:color w:val="auto"/>
          <w:sz w:val="18"/>
          <w:szCs w:val="18"/>
        </w:rPr>
        <w:tab/>
      </w:r>
      <w:r>
        <w:rPr>
          <w:rFonts w:ascii="宋体" w:hAnsi="宋体" w:eastAsia="宋体" w:cs="宋体"/>
          <w:color w:val="auto"/>
          <w:sz w:val="18"/>
          <w:szCs w:val="18"/>
        </w:rPr>
        <w:t>自主推广模式应收款项组合</w:t>
      </w:r>
    </w:p>
    <w:p w14:paraId="45DAC965">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373356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DD0A1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F9DE77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7B52CA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7FF9E8">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8C016D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9B1396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65B5EB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7C764A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4F793F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01D221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40,209,577.44</w:t>
            </w:r>
          </w:p>
        </w:tc>
        <w:tc>
          <w:tcPr>
            <w:tcW w:w="2410" w:type="dxa"/>
            <w:tcBorders>
              <w:top w:val="single" w:color="auto" w:sz="2" w:space="0"/>
              <w:left w:val="single" w:color="auto" w:sz="2" w:space="0"/>
              <w:bottom w:val="single" w:color="auto" w:sz="2" w:space="0"/>
              <w:right w:val="single" w:color="auto" w:sz="2" w:space="0"/>
            </w:tcBorders>
            <w:vAlign w:val="center"/>
          </w:tcPr>
          <w:p w14:paraId="31C22D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2,010,478.87</w:t>
            </w:r>
          </w:p>
        </w:tc>
        <w:tc>
          <w:tcPr>
            <w:tcW w:w="2410" w:type="dxa"/>
            <w:tcBorders>
              <w:top w:val="single" w:color="auto" w:sz="2" w:space="0"/>
              <w:left w:val="single" w:color="auto" w:sz="2" w:space="0"/>
              <w:bottom w:val="single" w:color="auto" w:sz="2" w:space="0"/>
              <w:right w:val="single" w:color="auto" w:sz="2" w:space="0"/>
            </w:tcBorders>
            <w:vAlign w:val="center"/>
          </w:tcPr>
          <w:p w14:paraId="14190D2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r>
      <w:tr w14:paraId="7F2BB9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F2C03E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2F4C687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6,076,583.70</w:t>
            </w:r>
          </w:p>
        </w:tc>
        <w:tc>
          <w:tcPr>
            <w:tcW w:w="2410" w:type="dxa"/>
            <w:tcBorders>
              <w:top w:val="single" w:color="auto" w:sz="2" w:space="0"/>
              <w:left w:val="single" w:color="auto" w:sz="2" w:space="0"/>
              <w:bottom w:val="single" w:color="auto" w:sz="2" w:space="0"/>
              <w:right w:val="single" w:color="auto" w:sz="2" w:space="0"/>
            </w:tcBorders>
            <w:vAlign w:val="center"/>
          </w:tcPr>
          <w:p w14:paraId="1828046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486,126.70</w:t>
            </w:r>
          </w:p>
        </w:tc>
        <w:tc>
          <w:tcPr>
            <w:tcW w:w="2410" w:type="dxa"/>
            <w:tcBorders>
              <w:top w:val="single" w:color="auto" w:sz="2" w:space="0"/>
              <w:left w:val="single" w:color="auto" w:sz="2" w:space="0"/>
              <w:bottom w:val="single" w:color="auto" w:sz="2" w:space="0"/>
              <w:right w:val="single" w:color="auto" w:sz="2" w:space="0"/>
            </w:tcBorders>
            <w:vAlign w:val="center"/>
          </w:tcPr>
          <w:p w14:paraId="2407C0E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w:t>
            </w:r>
          </w:p>
        </w:tc>
      </w:tr>
      <w:tr w14:paraId="402F18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9BD129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6AE8F96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42,118.44</w:t>
            </w:r>
          </w:p>
        </w:tc>
        <w:tc>
          <w:tcPr>
            <w:tcW w:w="2410" w:type="dxa"/>
            <w:tcBorders>
              <w:top w:val="single" w:color="auto" w:sz="2" w:space="0"/>
              <w:left w:val="single" w:color="auto" w:sz="2" w:space="0"/>
              <w:bottom w:val="single" w:color="auto" w:sz="2" w:space="0"/>
              <w:right w:val="single" w:color="auto" w:sz="2" w:space="0"/>
            </w:tcBorders>
            <w:vAlign w:val="center"/>
          </w:tcPr>
          <w:p w14:paraId="212C1A8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6,317.77</w:t>
            </w:r>
          </w:p>
        </w:tc>
        <w:tc>
          <w:tcPr>
            <w:tcW w:w="2410" w:type="dxa"/>
            <w:tcBorders>
              <w:top w:val="single" w:color="auto" w:sz="2" w:space="0"/>
              <w:left w:val="single" w:color="auto" w:sz="2" w:space="0"/>
              <w:bottom w:val="single" w:color="auto" w:sz="2" w:space="0"/>
              <w:right w:val="single" w:color="auto" w:sz="2" w:space="0"/>
            </w:tcBorders>
            <w:vAlign w:val="center"/>
          </w:tcPr>
          <w:p w14:paraId="5C975B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w:t>
            </w:r>
          </w:p>
        </w:tc>
      </w:tr>
      <w:tr w14:paraId="50887A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4C8F34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2103848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4,790.00</w:t>
            </w:r>
          </w:p>
        </w:tc>
        <w:tc>
          <w:tcPr>
            <w:tcW w:w="2410" w:type="dxa"/>
            <w:tcBorders>
              <w:top w:val="single" w:color="auto" w:sz="2" w:space="0"/>
              <w:left w:val="single" w:color="auto" w:sz="2" w:space="0"/>
              <w:bottom w:val="single" w:color="auto" w:sz="2" w:space="0"/>
              <w:right w:val="single" w:color="auto" w:sz="2" w:space="0"/>
            </w:tcBorders>
            <w:vAlign w:val="center"/>
          </w:tcPr>
          <w:p w14:paraId="65B088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1,437.00</w:t>
            </w:r>
          </w:p>
        </w:tc>
        <w:tc>
          <w:tcPr>
            <w:tcW w:w="2410" w:type="dxa"/>
            <w:tcBorders>
              <w:top w:val="single" w:color="auto" w:sz="2" w:space="0"/>
              <w:left w:val="single" w:color="auto" w:sz="2" w:space="0"/>
              <w:bottom w:val="single" w:color="auto" w:sz="2" w:space="0"/>
              <w:right w:val="single" w:color="auto" w:sz="2" w:space="0"/>
            </w:tcBorders>
            <w:vAlign w:val="center"/>
          </w:tcPr>
          <w:p w14:paraId="0F02DD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w:t>
            </w:r>
          </w:p>
        </w:tc>
      </w:tr>
      <w:tr w14:paraId="272ED0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2784F4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6B408A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53,509.77</w:t>
            </w:r>
          </w:p>
        </w:tc>
        <w:tc>
          <w:tcPr>
            <w:tcW w:w="2410" w:type="dxa"/>
            <w:tcBorders>
              <w:top w:val="single" w:color="auto" w:sz="2" w:space="0"/>
              <w:left w:val="single" w:color="auto" w:sz="2" w:space="0"/>
              <w:bottom w:val="single" w:color="auto" w:sz="2" w:space="0"/>
              <w:right w:val="single" w:color="auto" w:sz="2" w:space="0"/>
            </w:tcBorders>
            <w:vAlign w:val="center"/>
          </w:tcPr>
          <w:p w14:paraId="6E648A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32,105.86</w:t>
            </w:r>
          </w:p>
        </w:tc>
        <w:tc>
          <w:tcPr>
            <w:tcW w:w="2410" w:type="dxa"/>
            <w:tcBorders>
              <w:top w:val="single" w:color="auto" w:sz="2" w:space="0"/>
              <w:left w:val="single" w:color="auto" w:sz="2" w:space="0"/>
              <w:bottom w:val="single" w:color="auto" w:sz="2" w:space="0"/>
              <w:right w:val="single" w:color="auto" w:sz="2" w:space="0"/>
            </w:tcBorders>
            <w:vAlign w:val="center"/>
          </w:tcPr>
          <w:p w14:paraId="72F85C9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60.00%</w:t>
            </w:r>
          </w:p>
        </w:tc>
      </w:tr>
      <w:tr w14:paraId="691DE8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9CDF19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2CD0D2D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5,364.00</w:t>
            </w:r>
          </w:p>
        </w:tc>
        <w:tc>
          <w:tcPr>
            <w:tcW w:w="2410" w:type="dxa"/>
            <w:tcBorders>
              <w:top w:val="single" w:color="auto" w:sz="2" w:space="0"/>
              <w:left w:val="single" w:color="auto" w:sz="2" w:space="0"/>
              <w:bottom w:val="single" w:color="auto" w:sz="2" w:space="0"/>
              <w:right w:val="single" w:color="auto" w:sz="2" w:space="0"/>
            </w:tcBorders>
            <w:vAlign w:val="center"/>
          </w:tcPr>
          <w:p w14:paraId="67F3AA8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5,364.00</w:t>
            </w:r>
          </w:p>
        </w:tc>
        <w:tc>
          <w:tcPr>
            <w:tcW w:w="2410" w:type="dxa"/>
            <w:tcBorders>
              <w:top w:val="single" w:color="auto" w:sz="2" w:space="0"/>
              <w:left w:val="single" w:color="auto" w:sz="2" w:space="0"/>
              <w:bottom w:val="single" w:color="auto" w:sz="2" w:space="0"/>
              <w:right w:val="single" w:color="auto" w:sz="2" w:space="0"/>
            </w:tcBorders>
            <w:vAlign w:val="center"/>
          </w:tcPr>
          <w:p w14:paraId="366323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r>
      <w:tr w14:paraId="54464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B1474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76E6448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46,391,943.35</w:t>
            </w:r>
          </w:p>
        </w:tc>
        <w:tc>
          <w:tcPr>
            <w:tcW w:w="2410" w:type="dxa"/>
            <w:tcBorders>
              <w:top w:val="single" w:color="auto" w:sz="2" w:space="0"/>
              <w:left w:val="single" w:color="auto" w:sz="2" w:space="0"/>
              <w:bottom w:val="single" w:color="auto" w:sz="2" w:space="0"/>
              <w:right w:val="single" w:color="auto" w:sz="2" w:space="0"/>
            </w:tcBorders>
            <w:vAlign w:val="center"/>
          </w:tcPr>
          <w:p w14:paraId="617558F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2,541,830.20</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8665AD5">
            <w:pPr>
              <w:rPr>
                <w:color w:val="auto"/>
              </w:rPr>
            </w:pPr>
          </w:p>
        </w:tc>
      </w:tr>
    </w:tbl>
    <w:p w14:paraId="04584DB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019E590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按组合计提坏账准备类别名称：除（1）和（2）以外的组合</w:t>
      </w:r>
    </w:p>
    <w:p w14:paraId="4685A366">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6FED87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7DC13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3F42C5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6E1623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D6ECAED">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F46772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9319A3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64B2B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042666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EBBB3A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48AA567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3,133,176.45</w:t>
            </w:r>
          </w:p>
        </w:tc>
        <w:tc>
          <w:tcPr>
            <w:tcW w:w="2410" w:type="dxa"/>
            <w:tcBorders>
              <w:top w:val="single" w:color="auto" w:sz="2" w:space="0"/>
              <w:left w:val="single" w:color="auto" w:sz="2" w:space="0"/>
              <w:bottom w:val="single" w:color="auto" w:sz="2" w:space="0"/>
              <w:right w:val="single" w:color="auto" w:sz="2" w:space="0"/>
            </w:tcBorders>
            <w:vAlign w:val="center"/>
          </w:tcPr>
          <w:p w14:paraId="0D4BD52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156,658.82</w:t>
            </w:r>
          </w:p>
        </w:tc>
        <w:tc>
          <w:tcPr>
            <w:tcW w:w="2410" w:type="dxa"/>
            <w:tcBorders>
              <w:top w:val="single" w:color="auto" w:sz="2" w:space="0"/>
              <w:left w:val="single" w:color="auto" w:sz="2" w:space="0"/>
              <w:bottom w:val="single" w:color="auto" w:sz="2" w:space="0"/>
              <w:right w:val="single" w:color="auto" w:sz="2" w:space="0"/>
            </w:tcBorders>
            <w:vAlign w:val="center"/>
          </w:tcPr>
          <w:p w14:paraId="22533B3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r>
      <w:tr w14:paraId="2B7D2B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3582E6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084F96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70E3D061">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8F133FC">
            <w:pPr>
              <w:spacing w:before="0" w:after="0" w:line="240" w:lineRule="exact"/>
              <w:jc w:val="right"/>
              <w:rPr>
                <w:rFonts w:ascii="宋体" w:hAnsi="宋体" w:eastAsia="宋体" w:cs="宋体"/>
                <w:color w:val="auto"/>
                <w:sz w:val="18"/>
                <w:szCs w:val="18"/>
              </w:rPr>
            </w:pPr>
          </w:p>
        </w:tc>
      </w:tr>
      <w:tr w14:paraId="1E364E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0A1FBE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7E7003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7FF194E3">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CC5DDA7">
            <w:pPr>
              <w:spacing w:before="0" w:after="0" w:line="240" w:lineRule="exact"/>
              <w:jc w:val="right"/>
              <w:rPr>
                <w:rFonts w:ascii="宋体" w:hAnsi="宋体" w:eastAsia="宋体" w:cs="宋体"/>
                <w:color w:val="auto"/>
                <w:sz w:val="18"/>
                <w:szCs w:val="18"/>
              </w:rPr>
            </w:pPr>
          </w:p>
        </w:tc>
      </w:tr>
      <w:tr w14:paraId="143C57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6976BE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37FD8C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2B3B6D35">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2A9EF86">
            <w:pPr>
              <w:spacing w:before="0" w:after="0" w:line="240" w:lineRule="exact"/>
              <w:jc w:val="right"/>
              <w:rPr>
                <w:rFonts w:ascii="宋体" w:hAnsi="宋体" w:eastAsia="宋体" w:cs="宋体"/>
                <w:color w:val="auto"/>
                <w:sz w:val="18"/>
                <w:szCs w:val="18"/>
              </w:rPr>
            </w:pPr>
          </w:p>
        </w:tc>
      </w:tr>
      <w:tr w14:paraId="5B4388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2F09B4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3FC0B0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7F2DD94A">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3A3EE39">
            <w:pPr>
              <w:spacing w:before="0" w:after="0" w:line="240" w:lineRule="exact"/>
              <w:jc w:val="right"/>
              <w:rPr>
                <w:rFonts w:ascii="宋体" w:hAnsi="宋体" w:eastAsia="宋体" w:cs="宋体"/>
                <w:color w:val="auto"/>
                <w:sz w:val="18"/>
                <w:szCs w:val="18"/>
              </w:rPr>
            </w:pPr>
          </w:p>
        </w:tc>
      </w:tr>
      <w:tr w14:paraId="218CCC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25B887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3C7002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2BB15FF7">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8CE043C">
            <w:pPr>
              <w:spacing w:before="0" w:after="0" w:line="240" w:lineRule="exact"/>
              <w:jc w:val="right"/>
              <w:rPr>
                <w:rFonts w:ascii="宋体" w:hAnsi="宋体" w:eastAsia="宋体" w:cs="宋体"/>
                <w:color w:val="auto"/>
                <w:sz w:val="18"/>
                <w:szCs w:val="18"/>
              </w:rPr>
            </w:pPr>
          </w:p>
        </w:tc>
      </w:tr>
      <w:tr w14:paraId="7B36F6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1F314F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6497054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3,133,176.45</w:t>
            </w:r>
          </w:p>
        </w:tc>
        <w:tc>
          <w:tcPr>
            <w:tcW w:w="2410" w:type="dxa"/>
            <w:tcBorders>
              <w:top w:val="single" w:color="auto" w:sz="2" w:space="0"/>
              <w:left w:val="single" w:color="auto" w:sz="2" w:space="0"/>
              <w:bottom w:val="single" w:color="auto" w:sz="2" w:space="0"/>
              <w:right w:val="single" w:color="auto" w:sz="2" w:space="0"/>
            </w:tcBorders>
            <w:vAlign w:val="center"/>
          </w:tcPr>
          <w:p w14:paraId="5A1613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156,658.82</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78A6569">
            <w:pPr>
              <w:rPr>
                <w:color w:val="auto"/>
              </w:rPr>
            </w:pPr>
          </w:p>
        </w:tc>
      </w:tr>
    </w:tbl>
    <w:p w14:paraId="0494571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1F422BC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如是按照预期信用损失一般模型计提应收账款坏账准备：</w:t>
      </w:r>
    </w:p>
    <w:p w14:paraId="3AF986C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148FF1A8">
      <w:pPr>
        <w:keepNext/>
        <w:keepLines/>
        <w:spacing w:before="300" w:after="300" w:line="280" w:lineRule="exact"/>
        <w:jc w:val="left"/>
        <w:outlineLvl w:val="3"/>
        <w:rPr>
          <w:rFonts w:ascii="宋体" w:hAnsi="宋体" w:eastAsia="宋体" w:cs="宋体"/>
          <w:b/>
          <w:bCs/>
          <w:color w:val="auto"/>
          <w:sz w:val="21"/>
          <w:szCs w:val="21"/>
        </w:rPr>
      </w:pPr>
      <w:bookmarkStart w:id="91" w:name="_Toc989067"/>
      <w:r>
        <w:rPr>
          <w:rFonts w:ascii="宋体" w:hAnsi="宋体" w:eastAsia="宋体" w:cs="宋体"/>
          <w:b/>
          <w:bCs/>
          <w:color w:val="auto"/>
          <w:sz w:val="21"/>
          <w:szCs w:val="21"/>
        </w:rPr>
        <w:t>（3）本期计提、收回或转回的坏账准备情况</w:t>
      </w:r>
      <w:bookmarkEnd w:id="91"/>
    </w:p>
    <w:p w14:paraId="1E5C362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本期计提坏账准备情况：</w:t>
      </w:r>
    </w:p>
    <w:p w14:paraId="071F5548">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0DAFE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3135FF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09801B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F94380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ABED5A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74225B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A53DD92">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015991">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4B2C63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326049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89F178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FD656C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7DEFF57">
            <w:pPr>
              <w:rPr>
                <w:color w:val="auto"/>
              </w:rPr>
            </w:pPr>
          </w:p>
        </w:tc>
      </w:tr>
      <w:tr w14:paraId="4912AB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2A65E7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单项计提预期信用损失的应收账款</w:t>
            </w:r>
          </w:p>
        </w:tc>
        <w:tc>
          <w:tcPr>
            <w:tcW w:w="1377" w:type="dxa"/>
            <w:tcBorders>
              <w:top w:val="single" w:color="auto" w:sz="2" w:space="0"/>
              <w:left w:val="single" w:color="auto" w:sz="2" w:space="0"/>
              <w:bottom w:val="single" w:color="auto" w:sz="2" w:space="0"/>
              <w:right w:val="single" w:color="auto" w:sz="2" w:space="0"/>
            </w:tcBorders>
            <w:vAlign w:val="center"/>
          </w:tcPr>
          <w:p w14:paraId="6D1B9A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1377" w:type="dxa"/>
            <w:tcBorders>
              <w:top w:val="single" w:color="auto" w:sz="2" w:space="0"/>
              <w:left w:val="single" w:color="auto" w:sz="2" w:space="0"/>
              <w:bottom w:val="single" w:color="auto" w:sz="2" w:space="0"/>
              <w:right w:val="single" w:color="auto" w:sz="2" w:space="0"/>
            </w:tcBorders>
            <w:vAlign w:val="center"/>
          </w:tcPr>
          <w:p w14:paraId="3727DE35">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8E934C8">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896EF0D">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0E7A193">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87177E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r>
      <w:tr w14:paraId="098EA4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9341F3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按组合计提预期信用损失的应收账款</w:t>
            </w:r>
          </w:p>
        </w:tc>
        <w:tc>
          <w:tcPr>
            <w:tcW w:w="1377" w:type="dxa"/>
            <w:tcBorders>
              <w:top w:val="single" w:color="auto" w:sz="2" w:space="0"/>
              <w:left w:val="single" w:color="auto" w:sz="2" w:space="0"/>
              <w:bottom w:val="single" w:color="auto" w:sz="2" w:space="0"/>
              <w:right w:val="single" w:color="auto" w:sz="2" w:space="0"/>
            </w:tcBorders>
            <w:vAlign w:val="center"/>
          </w:tcPr>
          <w:p w14:paraId="6A7AF9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5,488,161.42</w:t>
            </w:r>
          </w:p>
        </w:tc>
        <w:tc>
          <w:tcPr>
            <w:tcW w:w="1377" w:type="dxa"/>
            <w:tcBorders>
              <w:top w:val="single" w:color="auto" w:sz="2" w:space="0"/>
              <w:left w:val="single" w:color="auto" w:sz="2" w:space="0"/>
              <w:bottom w:val="single" w:color="auto" w:sz="2" w:space="0"/>
              <w:right w:val="single" w:color="auto" w:sz="2" w:space="0"/>
            </w:tcBorders>
            <w:vAlign w:val="center"/>
          </w:tcPr>
          <w:p w14:paraId="3D19918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1,379,532.10</w:t>
            </w:r>
          </w:p>
        </w:tc>
        <w:tc>
          <w:tcPr>
            <w:tcW w:w="1377" w:type="dxa"/>
            <w:tcBorders>
              <w:top w:val="single" w:color="auto" w:sz="2" w:space="0"/>
              <w:left w:val="single" w:color="auto" w:sz="2" w:space="0"/>
              <w:bottom w:val="single" w:color="auto" w:sz="2" w:space="0"/>
              <w:right w:val="single" w:color="auto" w:sz="2" w:space="0"/>
            </w:tcBorders>
            <w:vAlign w:val="center"/>
          </w:tcPr>
          <w:p w14:paraId="2D315C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643,044.39</w:t>
            </w:r>
          </w:p>
        </w:tc>
        <w:tc>
          <w:tcPr>
            <w:tcW w:w="1377" w:type="dxa"/>
            <w:tcBorders>
              <w:top w:val="single" w:color="auto" w:sz="2" w:space="0"/>
              <w:left w:val="single" w:color="auto" w:sz="2" w:space="0"/>
              <w:bottom w:val="single" w:color="auto" w:sz="2" w:space="0"/>
              <w:right w:val="single" w:color="auto" w:sz="2" w:space="0"/>
            </w:tcBorders>
            <w:vAlign w:val="center"/>
          </w:tcPr>
          <w:p w14:paraId="3C8663A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804.00</w:t>
            </w:r>
          </w:p>
        </w:tc>
        <w:tc>
          <w:tcPr>
            <w:tcW w:w="1377" w:type="dxa"/>
            <w:tcBorders>
              <w:top w:val="single" w:color="auto" w:sz="2" w:space="0"/>
              <w:left w:val="single" w:color="auto" w:sz="2" w:space="0"/>
              <w:bottom w:val="single" w:color="auto" w:sz="2" w:space="0"/>
              <w:right w:val="single" w:color="auto" w:sz="2" w:space="0"/>
            </w:tcBorders>
            <w:vAlign w:val="center"/>
          </w:tcPr>
          <w:p w14:paraId="3DBD251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1377" w:type="dxa"/>
            <w:tcBorders>
              <w:top w:val="single" w:color="auto" w:sz="2" w:space="0"/>
              <w:left w:val="single" w:color="auto" w:sz="2" w:space="0"/>
              <w:bottom w:val="single" w:color="auto" w:sz="2" w:space="0"/>
              <w:right w:val="single" w:color="auto" w:sz="2" w:space="0"/>
            </w:tcBorders>
            <w:vAlign w:val="center"/>
          </w:tcPr>
          <w:p w14:paraId="5D325A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6,223,845.12</w:t>
            </w:r>
          </w:p>
        </w:tc>
      </w:tr>
      <w:tr w14:paraId="153175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32D7F6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29D5B7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6,123,090.49</w:t>
            </w:r>
          </w:p>
        </w:tc>
        <w:tc>
          <w:tcPr>
            <w:tcW w:w="1377" w:type="dxa"/>
            <w:tcBorders>
              <w:top w:val="single" w:color="auto" w:sz="2" w:space="0"/>
              <w:left w:val="single" w:color="auto" w:sz="2" w:space="0"/>
              <w:bottom w:val="single" w:color="auto" w:sz="2" w:space="0"/>
              <w:right w:val="single" w:color="auto" w:sz="2" w:space="0"/>
            </w:tcBorders>
            <w:vAlign w:val="center"/>
          </w:tcPr>
          <w:p w14:paraId="367AF6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1,379,532.10</w:t>
            </w:r>
          </w:p>
        </w:tc>
        <w:tc>
          <w:tcPr>
            <w:tcW w:w="1377" w:type="dxa"/>
            <w:tcBorders>
              <w:top w:val="single" w:color="auto" w:sz="2" w:space="0"/>
              <w:left w:val="single" w:color="auto" w:sz="2" w:space="0"/>
              <w:bottom w:val="single" w:color="auto" w:sz="2" w:space="0"/>
              <w:right w:val="single" w:color="auto" w:sz="2" w:space="0"/>
            </w:tcBorders>
            <w:vAlign w:val="center"/>
          </w:tcPr>
          <w:p w14:paraId="1C087DA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643,044.39</w:t>
            </w:r>
          </w:p>
        </w:tc>
        <w:tc>
          <w:tcPr>
            <w:tcW w:w="1377" w:type="dxa"/>
            <w:tcBorders>
              <w:top w:val="single" w:color="auto" w:sz="2" w:space="0"/>
              <w:left w:val="single" w:color="auto" w:sz="2" w:space="0"/>
              <w:bottom w:val="single" w:color="auto" w:sz="2" w:space="0"/>
              <w:right w:val="single" w:color="auto" w:sz="2" w:space="0"/>
            </w:tcBorders>
            <w:vAlign w:val="center"/>
          </w:tcPr>
          <w:p w14:paraId="48E759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804.00</w:t>
            </w:r>
          </w:p>
        </w:tc>
        <w:tc>
          <w:tcPr>
            <w:tcW w:w="1377" w:type="dxa"/>
            <w:tcBorders>
              <w:top w:val="single" w:color="auto" w:sz="2" w:space="0"/>
              <w:left w:val="single" w:color="auto" w:sz="2" w:space="0"/>
              <w:bottom w:val="single" w:color="auto" w:sz="2" w:space="0"/>
              <w:right w:val="single" w:color="auto" w:sz="2" w:space="0"/>
            </w:tcBorders>
            <w:vAlign w:val="center"/>
          </w:tcPr>
          <w:p w14:paraId="288B7FB8">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A004A1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6,858,774.19</w:t>
            </w:r>
          </w:p>
        </w:tc>
      </w:tr>
    </w:tbl>
    <w:p w14:paraId="6F4961E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其中本期坏账准备收回或转回金额重要的：</w:t>
      </w:r>
    </w:p>
    <w:p w14:paraId="7A288F21">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2A57F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57F77F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F98B05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0A984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3FA6D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127FF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4D5457BF">
      <w:pPr>
        <w:spacing w:before="40" w:after="40" w:line="0" w:lineRule="exact"/>
        <w:jc w:val="left"/>
        <w:rPr>
          <w:color w:val="auto"/>
        </w:rPr>
      </w:pPr>
    </w:p>
    <w:p w14:paraId="1F48E6FD">
      <w:pPr>
        <w:keepNext/>
        <w:keepLines/>
        <w:spacing w:before="300" w:after="300" w:line="280" w:lineRule="exact"/>
        <w:jc w:val="left"/>
        <w:outlineLvl w:val="3"/>
        <w:rPr>
          <w:rFonts w:ascii="宋体" w:hAnsi="宋体" w:eastAsia="宋体" w:cs="宋体"/>
          <w:b/>
          <w:bCs/>
          <w:color w:val="auto"/>
          <w:sz w:val="21"/>
          <w:szCs w:val="21"/>
        </w:rPr>
      </w:pPr>
      <w:bookmarkStart w:id="92" w:name="_Toc989068"/>
      <w:r>
        <w:rPr>
          <w:rFonts w:ascii="宋体" w:hAnsi="宋体" w:eastAsia="宋体" w:cs="宋体"/>
          <w:b/>
          <w:bCs/>
          <w:color w:val="auto"/>
          <w:sz w:val="21"/>
          <w:szCs w:val="21"/>
        </w:rPr>
        <w:t>（4）本期实际核销的应收账款情况</w:t>
      </w:r>
      <w:bookmarkEnd w:id="92"/>
    </w:p>
    <w:p w14:paraId="0C5891D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006717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6D5D6F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5F9671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r w14:paraId="0DBCC2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3C07A3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实际核销的应收账款</w:t>
            </w:r>
          </w:p>
        </w:tc>
        <w:tc>
          <w:tcPr>
            <w:tcW w:w="4820" w:type="dxa"/>
            <w:tcBorders>
              <w:top w:val="single" w:color="auto" w:sz="2" w:space="0"/>
              <w:left w:val="single" w:color="auto" w:sz="2" w:space="0"/>
              <w:bottom w:val="single" w:color="auto" w:sz="2" w:space="0"/>
              <w:right w:val="single" w:color="auto" w:sz="2" w:space="0"/>
            </w:tcBorders>
            <w:vAlign w:val="center"/>
          </w:tcPr>
          <w:p w14:paraId="5FA0C74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804.00</w:t>
            </w:r>
          </w:p>
        </w:tc>
      </w:tr>
    </w:tbl>
    <w:p w14:paraId="2C780C1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其中重要的应收账款核销情况：</w:t>
      </w:r>
    </w:p>
    <w:p w14:paraId="50AC9D34">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65DE9F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672324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693F04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应收账款性质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C1412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296552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5EFAA0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F052ED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3C07388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应收账款核销说明：</w:t>
      </w:r>
    </w:p>
    <w:p w14:paraId="18405B98">
      <w:pPr>
        <w:keepNext/>
        <w:keepLines/>
        <w:spacing w:before="300" w:after="300" w:line="280" w:lineRule="exact"/>
        <w:jc w:val="left"/>
        <w:outlineLvl w:val="3"/>
        <w:rPr>
          <w:rFonts w:ascii="宋体" w:hAnsi="宋体" w:eastAsia="宋体" w:cs="宋体"/>
          <w:b/>
          <w:bCs/>
          <w:color w:val="auto"/>
          <w:sz w:val="21"/>
          <w:szCs w:val="21"/>
        </w:rPr>
      </w:pPr>
      <w:bookmarkStart w:id="93" w:name="_Toc989069"/>
      <w:r>
        <w:rPr>
          <w:rFonts w:ascii="宋体" w:hAnsi="宋体" w:eastAsia="宋体" w:cs="宋体"/>
          <w:b/>
          <w:bCs/>
          <w:color w:val="auto"/>
          <w:sz w:val="21"/>
          <w:szCs w:val="21"/>
        </w:rPr>
        <w:t>（5）按欠款方归集的期末余额前五名的应收账款和合同资产情况</w:t>
      </w:r>
      <w:bookmarkEnd w:id="93"/>
    </w:p>
    <w:p w14:paraId="450B61F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1BB520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5F15E9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BA2D56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应收账款期末余额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BCFC70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9DCFE5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应收账款和合同资产期末余额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02F9D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占应收账款和合同资产期末余额合计数的比例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B22C38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应收账款坏账准备和合同资产减值准备期末余额</w:t>
            </w:r>
          </w:p>
        </w:tc>
      </w:tr>
      <w:tr w14:paraId="5880D2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C24F14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国药控股北京有限公司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752CECA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11,865,158.16</w:t>
            </w:r>
          </w:p>
        </w:tc>
        <w:tc>
          <w:tcPr>
            <w:tcW w:w="1606" w:type="dxa"/>
            <w:tcBorders>
              <w:top w:val="single" w:color="auto" w:sz="2" w:space="0"/>
              <w:left w:val="single" w:color="auto" w:sz="2" w:space="0"/>
              <w:bottom w:val="single" w:color="auto" w:sz="2" w:space="0"/>
              <w:right w:val="single" w:color="auto" w:sz="2" w:space="0"/>
            </w:tcBorders>
            <w:vAlign w:val="center"/>
          </w:tcPr>
          <w:p w14:paraId="58223331">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DABC5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11,865,158.16</w:t>
            </w:r>
          </w:p>
        </w:tc>
        <w:tc>
          <w:tcPr>
            <w:tcW w:w="1606" w:type="dxa"/>
            <w:tcBorders>
              <w:top w:val="single" w:color="auto" w:sz="2" w:space="0"/>
              <w:left w:val="single" w:color="auto" w:sz="2" w:space="0"/>
              <w:bottom w:val="single" w:color="auto" w:sz="2" w:space="0"/>
              <w:right w:val="single" w:color="auto" w:sz="2" w:space="0"/>
            </w:tcBorders>
            <w:vAlign w:val="center"/>
          </w:tcPr>
          <w:p w14:paraId="4DA85EE5">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lang w:val="en-US" w:eastAsia="zh-CN"/>
              </w:rPr>
              <w:t>13.24</w:t>
            </w:r>
            <w:r>
              <w:rPr>
                <w:rFonts w:ascii="宋体" w:hAnsi="宋体" w:eastAsia="宋体" w:cs="宋体"/>
                <w:color w:val="auto"/>
                <w:sz w:val="18"/>
                <w:szCs w:val="18"/>
              </w:rPr>
              <w:t>%</w:t>
            </w:r>
          </w:p>
        </w:tc>
        <w:tc>
          <w:tcPr>
            <w:tcW w:w="1606" w:type="dxa"/>
            <w:tcBorders>
              <w:top w:val="single" w:color="auto" w:sz="2" w:space="0"/>
              <w:left w:val="single" w:color="auto" w:sz="2" w:space="0"/>
              <w:bottom w:val="single" w:color="auto" w:sz="2" w:space="0"/>
              <w:right w:val="single" w:color="auto" w:sz="2" w:space="0"/>
            </w:tcBorders>
            <w:vAlign w:val="center"/>
          </w:tcPr>
          <w:p w14:paraId="4CE0A4C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593,257.91</w:t>
            </w:r>
          </w:p>
        </w:tc>
      </w:tr>
      <w:tr w14:paraId="59769E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CE3B6B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北京同仁堂商业投资集团有限公司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8CB2F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6,434,193.00</w:t>
            </w:r>
          </w:p>
        </w:tc>
        <w:tc>
          <w:tcPr>
            <w:tcW w:w="1606" w:type="dxa"/>
            <w:tcBorders>
              <w:top w:val="single" w:color="auto" w:sz="2" w:space="0"/>
              <w:left w:val="single" w:color="auto" w:sz="2" w:space="0"/>
              <w:bottom w:val="single" w:color="auto" w:sz="2" w:space="0"/>
              <w:right w:val="single" w:color="auto" w:sz="2" w:space="0"/>
            </w:tcBorders>
            <w:vAlign w:val="center"/>
          </w:tcPr>
          <w:p w14:paraId="55F11035">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FC1EA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6,434,193.00</w:t>
            </w:r>
          </w:p>
        </w:tc>
        <w:tc>
          <w:tcPr>
            <w:tcW w:w="1606" w:type="dxa"/>
            <w:tcBorders>
              <w:top w:val="single" w:color="auto" w:sz="2" w:space="0"/>
              <w:left w:val="single" w:color="auto" w:sz="2" w:space="0"/>
              <w:bottom w:val="single" w:color="auto" w:sz="2" w:space="0"/>
              <w:right w:val="single" w:color="auto" w:sz="2" w:space="0"/>
            </w:tcBorders>
            <w:vAlign w:val="center"/>
          </w:tcPr>
          <w:p w14:paraId="46CEF6C0">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lang w:val="en-US" w:eastAsia="zh-CN"/>
              </w:rPr>
              <w:t>7.18</w:t>
            </w:r>
            <w:r>
              <w:rPr>
                <w:rFonts w:ascii="宋体" w:hAnsi="宋体" w:eastAsia="宋体" w:cs="宋体"/>
                <w:color w:val="auto"/>
                <w:sz w:val="18"/>
                <w:szCs w:val="18"/>
              </w:rPr>
              <w:t>%</w:t>
            </w:r>
          </w:p>
        </w:tc>
        <w:tc>
          <w:tcPr>
            <w:tcW w:w="1606" w:type="dxa"/>
            <w:tcBorders>
              <w:top w:val="single" w:color="auto" w:sz="2" w:space="0"/>
              <w:left w:val="single" w:color="auto" w:sz="2" w:space="0"/>
              <w:bottom w:val="single" w:color="auto" w:sz="2" w:space="0"/>
              <w:right w:val="single" w:color="auto" w:sz="2" w:space="0"/>
            </w:tcBorders>
            <w:vAlign w:val="center"/>
          </w:tcPr>
          <w:p w14:paraId="53DA6E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929,108.15</w:t>
            </w:r>
          </w:p>
        </w:tc>
      </w:tr>
      <w:tr w14:paraId="28D7F2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BBF0D9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华润医药商业集团有限公司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548234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3,042,847.19</w:t>
            </w:r>
          </w:p>
        </w:tc>
        <w:tc>
          <w:tcPr>
            <w:tcW w:w="1606" w:type="dxa"/>
            <w:tcBorders>
              <w:top w:val="single" w:color="auto" w:sz="2" w:space="0"/>
              <w:left w:val="single" w:color="auto" w:sz="2" w:space="0"/>
              <w:bottom w:val="single" w:color="auto" w:sz="2" w:space="0"/>
              <w:right w:val="single" w:color="auto" w:sz="2" w:space="0"/>
            </w:tcBorders>
            <w:vAlign w:val="center"/>
          </w:tcPr>
          <w:p w14:paraId="228D906F">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6FF57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3,042,847.19</w:t>
            </w:r>
          </w:p>
        </w:tc>
        <w:tc>
          <w:tcPr>
            <w:tcW w:w="1606" w:type="dxa"/>
            <w:tcBorders>
              <w:top w:val="single" w:color="auto" w:sz="2" w:space="0"/>
              <w:left w:val="single" w:color="auto" w:sz="2" w:space="0"/>
              <w:bottom w:val="single" w:color="auto" w:sz="2" w:space="0"/>
              <w:right w:val="single" w:color="auto" w:sz="2" w:space="0"/>
            </w:tcBorders>
            <w:vAlign w:val="center"/>
          </w:tcPr>
          <w:p w14:paraId="4C503F3E">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lang w:val="en-US" w:eastAsia="zh-CN"/>
              </w:rPr>
              <w:t>3.39</w:t>
            </w:r>
            <w:r>
              <w:rPr>
                <w:rFonts w:ascii="宋体" w:hAnsi="宋体" w:eastAsia="宋体" w:cs="宋体"/>
                <w:color w:val="auto"/>
                <w:sz w:val="18"/>
                <w:szCs w:val="18"/>
              </w:rPr>
              <w:t>%</w:t>
            </w:r>
          </w:p>
        </w:tc>
        <w:tc>
          <w:tcPr>
            <w:tcW w:w="1606" w:type="dxa"/>
            <w:tcBorders>
              <w:top w:val="single" w:color="auto" w:sz="2" w:space="0"/>
              <w:left w:val="single" w:color="auto" w:sz="2" w:space="0"/>
              <w:bottom w:val="single" w:color="auto" w:sz="2" w:space="0"/>
              <w:right w:val="single" w:color="auto" w:sz="2" w:space="0"/>
            </w:tcBorders>
            <w:vAlign w:val="center"/>
          </w:tcPr>
          <w:p w14:paraId="2D74BB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152,142.36</w:t>
            </w:r>
          </w:p>
        </w:tc>
      </w:tr>
      <w:tr w14:paraId="029478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8A60C9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广西柳药集团股份有限公司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6C71DDA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2,894,571.41</w:t>
            </w:r>
          </w:p>
        </w:tc>
        <w:tc>
          <w:tcPr>
            <w:tcW w:w="1606" w:type="dxa"/>
            <w:tcBorders>
              <w:top w:val="single" w:color="auto" w:sz="2" w:space="0"/>
              <w:left w:val="single" w:color="auto" w:sz="2" w:space="0"/>
              <w:bottom w:val="single" w:color="auto" w:sz="2" w:space="0"/>
              <w:right w:val="single" w:color="auto" w:sz="2" w:space="0"/>
            </w:tcBorders>
            <w:vAlign w:val="center"/>
          </w:tcPr>
          <w:p w14:paraId="0D4A1B7C">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42D169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2,894,571.41</w:t>
            </w:r>
          </w:p>
        </w:tc>
        <w:tc>
          <w:tcPr>
            <w:tcW w:w="1606" w:type="dxa"/>
            <w:tcBorders>
              <w:top w:val="single" w:color="auto" w:sz="2" w:space="0"/>
              <w:left w:val="single" w:color="auto" w:sz="2" w:space="0"/>
              <w:bottom w:val="single" w:color="auto" w:sz="2" w:space="0"/>
              <w:right w:val="single" w:color="auto" w:sz="2" w:space="0"/>
            </w:tcBorders>
            <w:vAlign w:val="center"/>
          </w:tcPr>
          <w:p w14:paraId="5BBEB4A5">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lang w:val="en-US" w:eastAsia="zh-CN"/>
              </w:rPr>
              <w:t>3.23</w:t>
            </w:r>
            <w:r>
              <w:rPr>
                <w:rFonts w:ascii="宋体" w:hAnsi="宋体" w:eastAsia="宋体" w:cs="宋体"/>
                <w:color w:val="auto"/>
                <w:sz w:val="18"/>
                <w:szCs w:val="18"/>
              </w:rPr>
              <w:t>%</w:t>
            </w:r>
          </w:p>
        </w:tc>
        <w:tc>
          <w:tcPr>
            <w:tcW w:w="1606" w:type="dxa"/>
            <w:tcBorders>
              <w:top w:val="single" w:color="auto" w:sz="2" w:space="0"/>
              <w:left w:val="single" w:color="auto" w:sz="2" w:space="0"/>
              <w:bottom w:val="single" w:color="auto" w:sz="2" w:space="0"/>
              <w:right w:val="single" w:color="auto" w:sz="2" w:space="0"/>
            </w:tcBorders>
            <w:vAlign w:val="center"/>
          </w:tcPr>
          <w:p w14:paraId="5882F24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144,728.57</w:t>
            </w:r>
          </w:p>
        </w:tc>
      </w:tr>
      <w:tr w14:paraId="77BA8E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3038AF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南京医药股份有限公司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BAE157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2,835,254.45</w:t>
            </w:r>
          </w:p>
        </w:tc>
        <w:tc>
          <w:tcPr>
            <w:tcW w:w="1606" w:type="dxa"/>
            <w:tcBorders>
              <w:top w:val="single" w:color="auto" w:sz="2" w:space="0"/>
              <w:left w:val="single" w:color="auto" w:sz="2" w:space="0"/>
              <w:bottom w:val="single" w:color="auto" w:sz="2" w:space="0"/>
              <w:right w:val="single" w:color="auto" w:sz="2" w:space="0"/>
            </w:tcBorders>
            <w:vAlign w:val="center"/>
          </w:tcPr>
          <w:p w14:paraId="1B0086E5">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F2F1D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2,835,254.45</w:t>
            </w:r>
          </w:p>
        </w:tc>
        <w:tc>
          <w:tcPr>
            <w:tcW w:w="1606" w:type="dxa"/>
            <w:tcBorders>
              <w:top w:val="single" w:color="auto" w:sz="2" w:space="0"/>
              <w:left w:val="single" w:color="auto" w:sz="2" w:space="0"/>
              <w:bottom w:val="single" w:color="auto" w:sz="2" w:space="0"/>
              <w:right w:val="single" w:color="auto" w:sz="2" w:space="0"/>
            </w:tcBorders>
            <w:vAlign w:val="center"/>
          </w:tcPr>
          <w:p w14:paraId="116C64CD">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lang w:val="en-US" w:eastAsia="zh-CN"/>
              </w:rPr>
              <w:t>3.16</w:t>
            </w:r>
            <w:r>
              <w:rPr>
                <w:rFonts w:ascii="宋体" w:hAnsi="宋体" w:eastAsia="宋体" w:cs="宋体"/>
                <w:color w:val="auto"/>
                <w:sz w:val="18"/>
                <w:szCs w:val="18"/>
              </w:rPr>
              <w:t>%</w:t>
            </w:r>
          </w:p>
        </w:tc>
        <w:tc>
          <w:tcPr>
            <w:tcW w:w="1606" w:type="dxa"/>
            <w:tcBorders>
              <w:top w:val="single" w:color="auto" w:sz="2" w:space="0"/>
              <w:left w:val="single" w:color="auto" w:sz="2" w:space="0"/>
              <w:bottom w:val="single" w:color="auto" w:sz="2" w:space="0"/>
              <w:right w:val="single" w:color="auto" w:sz="2" w:space="0"/>
            </w:tcBorders>
            <w:vAlign w:val="center"/>
          </w:tcPr>
          <w:p w14:paraId="31B1AB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141,762.72</w:t>
            </w:r>
          </w:p>
        </w:tc>
      </w:tr>
      <w:tr w14:paraId="095053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245238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2B6F13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27,072,024.21</w:t>
            </w:r>
          </w:p>
        </w:tc>
        <w:tc>
          <w:tcPr>
            <w:tcW w:w="1606" w:type="dxa"/>
            <w:tcBorders>
              <w:top w:val="single" w:color="auto" w:sz="2" w:space="0"/>
              <w:left w:val="single" w:color="auto" w:sz="2" w:space="0"/>
              <w:bottom w:val="single" w:color="auto" w:sz="2" w:space="0"/>
              <w:right w:val="single" w:color="auto" w:sz="2" w:space="0"/>
            </w:tcBorders>
            <w:vAlign w:val="center"/>
          </w:tcPr>
          <w:p w14:paraId="72A267A2">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A35881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27,072,024.21</w:t>
            </w:r>
          </w:p>
        </w:tc>
        <w:tc>
          <w:tcPr>
            <w:tcW w:w="1606" w:type="dxa"/>
            <w:tcBorders>
              <w:top w:val="single" w:color="auto" w:sz="2" w:space="0"/>
              <w:left w:val="single" w:color="auto" w:sz="2" w:space="0"/>
              <w:bottom w:val="single" w:color="auto" w:sz="2" w:space="0"/>
              <w:right w:val="single" w:color="auto" w:sz="2" w:space="0"/>
            </w:tcBorders>
            <w:vAlign w:val="center"/>
          </w:tcPr>
          <w:p w14:paraId="39268586">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lang w:val="en-US" w:eastAsia="zh-CN"/>
              </w:rPr>
              <w:t>30.20</w:t>
            </w:r>
            <w:r>
              <w:rPr>
                <w:rFonts w:ascii="宋体" w:hAnsi="宋体" w:eastAsia="宋体" w:cs="宋体"/>
                <w:color w:val="auto"/>
                <w:sz w:val="18"/>
                <w:szCs w:val="18"/>
              </w:rPr>
              <w:t>%</w:t>
            </w:r>
          </w:p>
        </w:tc>
        <w:tc>
          <w:tcPr>
            <w:tcW w:w="1606" w:type="dxa"/>
            <w:tcBorders>
              <w:top w:val="single" w:color="auto" w:sz="2" w:space="0"/>
              <w:left w:val="single" w:color="auto" w:sz="2" w:space="0"/>
              <w:bottom w:val="single" w:color="auto" w:sz="2" w:space="0"/>
              <w:right w:val="single" w:color="auto" w:sz="2" w:space="0"/>
            </w:tcBorders>
            <w:vAlign w:val="center"/>
          </w:tcPr>
          <w:p w14:paraId="67C3555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1,960,999.71</w:t>
            </w:r>
          </w:p>
        </w:tc>
      </w:tr>
    </w:tbl>
    <w:p w14:paraId="7E92F7AF">
      <w:pPr>
        <w:keepNext/>
        <w:keepLines/>
        <w:spacing w:before="300" w:after="300" w:line="280" w:lineRule="exact"/>
        <w:jc w:val="left"/>
        <w:outlineLvl w:val="2"/>
        <w:rPr>
          <w:rFonts w:ascii="宋体" w:hAnsi="宋体" w:eastAsia="宋体" w:cs="宋体"/>
          <w:b/>
          <w:bCs/>
          <w:color w:val="auto"/>
          <w:sz w:val="21"/>
          <w:szCs w:val="21"/>
        </w:rPr>
      </w:pPr>
      <w:bookmarkStart w:id="94" w:name="_Toc989070"/>
      <w:r>
        <w:rPr>
          <w:rFonts w:ascii="宋体" w:hAnsi="宋体" w:eastAsia="宋体" w:cs="宋体"/>
          <w:b/>
          <w:bCs/>
          <w:color w:val="auto"/>
          <w:sz w:val="21"/>
          <w:szCs w:val="21"/>
        </w:rPr>
        <w:t>6、合同资产</w:t>
      </w:r>
      <w:bookmarkEnd w:id="94"/>
    </w:p>
    <w:p w14:paraId="003A6E4F">
      <w:pPr>
        <w:keepNext/>
        <w:keepLines/>
        <w:spacing w:before="300" w:after="300" w:line="280" w:lineRule="exact"/>
        <w:jc w:val="left"/>
        <w:outlineLvl w:val="3"/>
        <w:rPr>
          <w:rFonts w:ascii="宋体" w:hAnsi="宋体" w:eastAsia="宋体" w:cs="宋体"/>
          <w:b/>
          <w:bCs/>
          <w:color w:val="auto"/>
          <w:sz w:val="21"/>
          <w:szCs w:val="21"/>
        </w:rPr>
      </w:pPr>
      <w:bookmarkStart w:id="95" w:name="_Toc989071"/>
      <w:r>
        <w:rPr>
          <w:rFonts w:ascii="宋体" w:hAnsi="宋体" w:eastAsia="宋体" w:cs="宋体"/>
          <w:b/>
          <w:bCs/>
          <w:color w:val="auto"/>
          <w:sz w:val="21"/>
          <w:szCs w:val="21"/>
        </w:rPr>
        <w:t>（1）合同资产情况</w:t>
      </w:r>
      <w:bookmarkEnd w:id="95"/>
    </w:p>
    <w:p w14:paraId="680BA9D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85A40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D4340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CD33F6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965AA0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2332C4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vAlign w:val="center"/>
          </w:tcPr>
          <w:p w14:paraId="5448E39E">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E8C122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95242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4F247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F80CEE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98B3EF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2C890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bl>
    <w:p w14:paraId="2E32E669">
      <w:pPr>
        <w:keepNext/>
        <w:keepLines/>
        <w:spacing w:before="300" w:after="300" w:line="280" w:lineRule="exact"/>
        <w:jc w:val="left"/>
        <w:outlineLvl w:val="3"/>
        <w:rPr>
          <w:rFonts w:ascii="宋体" w:hAnsi="宋体" w:eastAsia="宋体" w:cs="宋体"/>
          <w:b/>
          <w:bCs/>
          <w:color w:val="auto"/>
          <w:sz w:val="21"/>
          <w:szCs w:val="21"/>
        </w:rPr>
      </w:pPr>
      <w:bookmarkStart w:id="96" w:name="_Toc989072"/>
      <w:r>
        <w:rPr>
          <w:rFonts w:ascii="宋体" w:hAnsi="宋体" w:eastAsia="宋体" w:cs="宋体"/>
          <w:b/>
          <w:bCs/>
          <w:color w:val="auto"/>
          <w:sz w:val="21"/>
          <w:szCs w:val="21"/>
        </w:rPr>
        <w:t>（2）报告期内账面价值发生的重大变动金额和原因</w:t>
      </w:r>
      <w:bookmarkEnd w:id="96"/>
    </w:p>
    <w:p w14:paraId="48C58B2C">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38337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985D5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B8B32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变动金额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856A2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变动原因</w:t>
            </w:r>
          </w:p>
        </w:tc>
      </w:tr>
    </w:tbl>
    <w:p w14:paraId="457210D0">
      <w:pPr>
        <w:keepNext/>
        <w:keepLines/>
        <w:spacing w:before="300" w:after="300" w:line="280" w:lineRule="exact"/>
        <w:jc w:val="left"/>
        <w:outlineLvl w:val="3"/>
        <w:rPr>
          <w:rFonts w:ascii="宋体" w:hAnsi="宋体" w:eastAsia="宋体" w:cs="宋体"/>
          <w:b/>
          <w:bCs/>
          <w:color w:val="auto"/>
          <w:sz w:val="21"/>
          <w:szCs w:val="21"/>
        </w:rPr>
      </w:pPr>
      <w:bookmarkStart w:id="97" w:name="_Toc989073"/>
      <w:r>
        <w:rPr>
          <w:rFonts w:ascii="宋体" w:hAnsi="宋体" w:eastAsia="宋体" w:cs="宋体"/>
          <w:b/>
          <w:bCs/>
          <w:color w:val="auto"/>
          <w:sz w:val="21"/>
          <w:szCs w:val="21"/>
        </w:rPr>
        <w:t>（3）按坏账计提方法分类披露</w:t>
      </w:r>
      <w:bookmarkEnd w:id="97"/>
    </w:p>
    <w:p w14:paraId="7E03B251">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785C3D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B54ED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3F288A3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46BA51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51370C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177A860">
            <w:pPr>
              <w:rPr>
                <w:color w:val="auto"/>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245979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4D9D06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3DC481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DEEB7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BFDDD8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967AEC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3746A1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C20C5CF">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D63082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9F347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560975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FC5FB6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47F93B">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B8312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531B7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ACFEA3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224CB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2E3D5EF">
            <w:pPr>
              <w:rPr>
                <w:color w:val="auto"/>
              </w:rPr>
            </w:pPr>
          </w:p>
        </w:tc>
      </w:tr>
      <w:tr w14:paraId="537DAE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EB23393">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8A99C19">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85009C1">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423CF72">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53F59F4">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683EE24">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7AA7572">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8AA047E">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5E7D49F">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F1F7DB2">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31CF1C3">
            <w:pPr>
              <w:rPr>
                <w:color w:val="auto"/>
              </w:rPr>
            </w:pPr>
          </w:p>
        </w:tc>
      </w:tr>
      <w:tr w14:paraId="57857D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8CE8E81">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AAA7895">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6F48F6A">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1662770">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78BB382">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2B52874">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1EC2E63">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1303F91">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EE6ADAA">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8F2F440">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A8675AE">
            <w:pPr>
              <w:rPr>
                <w:color w:val="auto"/>
              </w:rPr>
            </w:pPr>
          </w:p>
        </w:tc>
      </w:tr>
    </w:tbl>
    <w:p w14:paraId="578FF7B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按组合计提坏账准备类别个数：0</w:t>
      </w:r>
    </w:p>
    <w:p w14:paraId="62A908E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按预期信用损失一般模型计提坏账准备</w:t>
      </w:r>
    </w:p>
    <w:p w14:paraId="6980365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0F89398D">
      <w:pPr>
        <w:keepNext/>
        <w:keepLines/>
        <w:spacing w:before="300" w:after="300" w:line="280" w:lineRule="exact"/>
        <w:jc w:val="left"/>
        <w:outlineLvl w:val="3"/>
        <w:rPr>
          <w:rFonts w:ascii="宋体" w:hAnsi="宋体" w:eastAsia="宋体" w:cs="宋体"/>
          <w:b/>
          <w:bCs/>
          <w:color w:val="auto"/>
          <w:sz w:val="21"/>
          <w:szCs w:val="21"/>
        </w:rPr>
      </w:pPr>
      <w:bookmarkStart w:id="98" w:name="_Toc989074"/>
      <w:r>
        <w:rPr>
          <w:rFonts w:ascii="宋体" w:hAnsi="宋体" w:eastAsia="宋体" w:cs="宋体"/>
          <w:b/>
          <w:bCs/>
          <w:color w:val="auto"/>
          <w:sz w:val="21"/>
          <w:szCs w:val="21"/>
        </w:rPr>
        <w:t>（4）本期计提、收回或转回的坏账准备情况</w:t>
      </w:r>
      <w:bookmarkEnd w:id="98"/>
    </w:p>
    <w:p w14:paraId="17A339B1">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CE9FA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8DE6EC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9B5CE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本期计提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6C192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本期收回或转回</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2A542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本期转销/核销</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E9BC1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原因</w:t>
            </w:r>
          </w:p>
        </w:tc>
      </w:tr>
    </w:tbl>
    <w:p w14:paraId="417CF4C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其中本期坏账准备收回或转回金额重要的：</w:t>
      </w:r>
    </w:p>
    <w:p w14:paraId="441CEFF4">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91799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39586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0B3DA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A077F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4F7C48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D417E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6002C5B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C9A98B8">
      <w:pPr>
        <w:keepNext/>
        <w:keepLines/>
        <w:spacing w:before="300" w:after="300" w:line="280" w:lineRule="exact"/>
        <w:jc w:val="left"/>
        <w:outlineLvl w:val="3"/>
        <w:rPr>
          <w:rFonts w:ascii="宋体" w:hAnsi="宋体" w:eastAsia="宋体" w:cs="宋体"/>
          <w:b/>
          <w:bCs/>
          <w:color w:val="auto"/>
          <w:sz w:val="21"/>
          <w:szCs w:val="21"/>
        </w:rPr>
      </w:pPr>
      <w:bookmarkStart w:id="99" w:name="_Toc989075"/>
      <w:r>
        <w:rPr>
          <w:rFonts w:ascii="宋体" w:hAnsi="宋体" w:eastAsia="宋体" w:cs="宋体"/>
          <w:b/>
          <w:bCs/>
          <w:color w:val="auto"/>
          <w:sz w:val="21"/>
          <w:szCs w:val="21"/>
        </w:rPr>
        <w:t>（5）本期实际核销的合同资产情况</w:t>
      </w:r>
      <w:bookmarkEnd w:id="99"/>
    </w:p>
    <w:p w14:paraId="6E5C7D9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29B5E0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C65DCC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1CB3E4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075AAF7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其中重要的合同资产核销情况</w:t>
      </w:r>
    </w:p>
    <w:p w14:paraId="2B3867C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50F4D7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F5C7C2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1AF896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698504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201BB4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F39F24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5F38C7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4944801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合同资产核销说明：</w:t>
      </w:r>
    </w:p>
    <w:p w14:paraId="22597DB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6074606">
      <w:pPr>
        <w:keepNext/>
        <w:keepLines/>
        <w:spacing w:before="300" w:after="300" w:line="280" w:lineRule="exact"/>
        <w:jc w:val="left"/>
        <w:outlineLvl w:val="2"/>
        <w:rPr>
          <w:rFonts w:ascii="宋体" w:hAnsi="宋体" w:eastAsia="宋体" w:cs="宋体"/>
          <w:b/>
          <w:bCs/>
          <w:color w:val="auto"/>
          <w:sz w:val="21"/>
          <w:szCs w:val="21"/>
        </w:rPr>
      </w:pPr>
      <w:bookmarkStart w:id="100" w:name="_Toc989076"/>
      <w:r>
        <w:rPr>
          <w:rFonts w:ascii="宋体" w:hAnsi="宋体" w:eastAsia="宋体" w:cs="宋体"/>
          <w:b/>
          <w:bCs/>
          <w:color w:val="auto"/>
          <w:sz w:val="21"/>
          <w:szCs w:val="21"/>
        </w:rPr>
        <w:t>7、应收款项融资</w:t>
      </w:r>
      <w:bookmarkEnd w:id="100"/>
    </w:p>
    <w:p w14:paraId="12AE601E">
      <w:pPr>
        <w:keepNext/>
        <w:keepLines/>
        <w:spacing w:before="300" w:after="300" w:line="280" w:lineRule="exact"/>
        <w:jc w:val="left"/>
        <w:outlineLvl w:val="3"/>
        <w:rPr>
          <w:rFonts w:ascii="宋体" w:hAnsi="宋体" w:eastAsia="宋体" w:cs="宋体"/>
          <w:b/>
          <w:bCs/>
          <w:color w:val="auto"/>
          <w:sz w:val="21"/>
          <w:szCs w:val="21"/>
        </w:rPr>
      </w:pPr>
      <w:bookmarkStart w:id="101" w:name="_Toc989077"/>
      <w:r>
        <w:rPr>
          <w:rFonts w:ascii="宋体" w:hAnsi="宋体" w:eastAsia="宋体" w:cs="宋体"/>
          <w:b/>
          <w:bCs/>
          <w:color w:val="auto"/>
          <w:sz w:val="21"/>
          <w:szCs w:val="21"/>
        </w:rPr>
        <w:t>（1）应收款项融资分类列示</w:t>
      </w:r>
      <w:bookmarkEnd w:id="101"/>
    </w:p>
    <w:p w14:paraId="705E7A4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30451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3E094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E3E71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11F8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54BEDE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A63193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1E032D0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2,469,526.50</w:t>
            </w:r>
          </w:p>
        </w:tc>
        <w:tc>
          <w:tcPr>
            <w:tcW w:w="3213" w:type="dxa"/>
            <w:tcBorders>
              <w:top w:val="single" w:color="auto" w:sz="2" w:space="0"/>
              <w:left w:val="single" w:color="auto" w:sz="2" w:space="0"/>
              <w:bottom w:val="single" w:color="auto" w:sz="2" w:space="0"/>
              <w:right w:val="single" w:color="auto" w:sz="2" w:space="0"/>
            </w:tcBorders>
            <w:vAlign w:val="center"/>
          </w:tcPr>
          <w:p w14:paraId="0B22DE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2,292,928.00</w:t>
            </w:r>
          </w:p>
        </w:tc>
      </w:tr>
      <w:tr w14:paraId="18C0C0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FB657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93ED5B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2,469,526.50</w:t>
            </w:r>
          </w:p>
        </w:tc>
        <w:tc>
          <w:tcPr>
            <w:tcW w:w="3213" w:type="dxa"/>
            <w:tcBorders>
              <w:top w:val="single" w:color="auto" w:sz="2" w:space="0"/>
              <w:left w:val="single" w:color="auto" w:sz="2" w:space="0"/>
              <w:bottom w:val="single" w:color="auto" w:sz="2" w:space="0"/>
              <w:right w:val="single" w:color="auto" w:sz="2" w:space="0"/>
            </w:tcBorders>
            <w:vAlign w:val="center"/>
          </w:tcPr>
          <w:p w14:paraId="4919B25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2,292,928.00</w:t>
            </w:r>
          </w:p>
        </w:tc>
      </w:tr>
    </w:tbl>
    <w:p w14:paraId="36FA0ACB">
      <w:pPr>
        <w:keepNext/>
        <w:keepLines/>
        <w:spacing w:before="300" w:after="300" w:line="280" w:lineRule="exact"/>
        <w:jc w:val="left"/>
        <w:outlineLvl w:val="3"/>
        <w:rPr>
          <w:rFonts w:ascii="宋体" w:hAnsi="宋体" w:eastAsia="宋体" w:cs="宋体"/>
          <w:b/>
          <w:bCs/>
          <w:color w:val="auto"/>
          <w:sz w:val="21"/>
          <w:szCs w:val="21"/>
        </w:rPr>
      </w:pPr>
      <w:bookmarkStart w:id="102" w:name="_Toc989078"/>
      <w:r>
        <w:rPr>
          <w:rFonts w:ascii="宋体" w:hAnsi="宋体" w:eastAsia="宋体" w:cs="宋体"/>
          <w:b/>
          <w:bCs/>
          <w:color w:val="auto"/>
          <w:sz w:val="21"/>
          <w:szCs w:val="21"/>
        </w:rPr>
        <w:t>（2）按坏账计提方法分类披露</w:t>
      </w:r>
      <w:bookmarkEnd w:id="102"/>
    </w:p>
    <w:p w14:paraId="39386F2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5E4FC8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34486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5A5BF0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D14D1B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5C07BD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F51D4C7">
            <w:pPr>
              <w:rPr>
                <w:color w:val="auto"/>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82800E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1E11BE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FF412F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94E573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AF0ED9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674E95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24062A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9C6E0CE">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CEA561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DEEC9C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7124FB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017768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D10796">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818F1B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728276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812562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0A43C0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D4EA7E0">
            <w:pPr>
              <w:rPr>
                <w:color w:val="auto"/>
              </w:rPr>
            </w:pPr>
          </w:p>
        </w:tc>
      </w:tr>
      <w:tr w14:paraId="4FDD28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3381D91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r>
      <w:tr w14:paraId="41B60B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74FB9BE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r>
    </w:tbl>
    <w:p w14:paraId="60D061A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按预期信用损失一般模型计提坏账准备</w:t>
      </w:r>
    </w:p>
    <w:p w14:paraId="577D548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4D23BE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51828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3BFA66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C1112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A2D3F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729C13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3AAFE4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0D1D64A">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3E23F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E5358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FE17B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49425BD">
            <w:pPr>
              <w:rPr>
                <w:color w:val="auto"/>
              </w:rPr>
            </w:pPr>
          </w:p>
        </w:tc>
      </w:tr>
      <w:tr w14:paraId="5C5B52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D3283F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2025年1月1日余额在本期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75598F8">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68872E">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A56F92F">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6D0084">
            <w:pPr>
              <w:rPr>
                <w:color w:val="auto"/>
              </w:rPr>
            </w:pPr>
          </w:p>
        </w:tc>
      </w:tr>
    </w:tbl>
    <w:p w14:paraId="3A9C52D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各阶段划分依据和坏账准备计提比例</w:t>
      </w:r>
    </w:p>
    <w:p w14:paraId="4F08C5E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对本期发生损失准备变动的应收款项融资账面余额显著变动的情况说明：</w:t>
      </w:r>
    </w:p>
    <w:p w14:paraId="57B3D775">
      <w:pPr>
        <w:keepNext/>
        <w:keepLines/>
        <w:spacing w:before="300" w:after="300" w:line="280" w:lineRule="exact"/>
        <w:jc w:val="left"/>
        <w:outlineLvl w:val="3"/>
        <w:rPr>
          <w:rFonts w:ascii="宋体" w:hAnsi="宋体" w:eastAsia="宋体" w:cs="宋体"/>
          <w:b/>
          <w:bCs/>
          <w:color w:val="auto"/>
          <w:sz w:val="18"/>
          <w:szCs w:val="18"/>
        </w:rPr>
      </w:pPr>
      <w:bookmarkStart w:id="103" w:name="_Toc989079"/>
      <w:r>
        <w:rPr>
          <w:rFonts w:ascii="宋体" w:hAnsi="宋体" w:eastAsia="宋体" w:cs="宋体"/>
          <w:b/>
          <w:bCs/>
          <w:color w:val="auto"/>
          <w:sz w:val="18"/>
          <w:szCs w:val="18"/>
        </w:rPr>
        <w:t>（3）本期计提、收回或转回的坏账准备的情况</w:t>
      </w:r>
      <w:bookmarkEnd w:id="103"/>
    </w:p>
    <w:p w14:paraId="50F7ABE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0D16F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950F5A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2FADEC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CD3887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297E63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430F13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75EFE7D">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595F19C">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0BBF79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84AE10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D690E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C040E5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B483FF4">
            <w:pPr>
              <w:rPr>
                <w:color w:val="auto"/>
              </w:rPr>
            </w:pPr>
          </w:p>
        </w:tc>
      </w:tr>
    </w:tbl>
    <w:p w14:paraId="17814AF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其中本期坏账准备收回或转回金额重要的：</w:t>
      </w:r>
    </w:p>
    <w:p w14:paraId="1E554EA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0C808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C4F68C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7E8BB7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3A8AFF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A776D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DCBFDE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3A6CDA8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54D4BE5">
      <w:pPr>
        <w:keepNext/>
        <w:keepLines/>
        <w:spacing w:before="300" w:after="300" w:line="280" w:lineRule="exact"/>
        <w:jc w:val="left"/>
        <w:outlineLvl w:val="3"/>
        <w:rPr>
          <w:rFonts w:ascii="宋体" w:hAnsi="宋体" w:eastAsia="宋体" w:cs="宋体"/>
          <w:b/>
          <w:bCs/>
          <w:color w:val="auto"/>
          <w:sz w:val="21"/>
          <w:szCs w:val="21"/>
        </w:rPr>
      </w:pPr>
      <w:bookmarkStart w:id="104" w:name="_Toc989080"/>
      <w:r>
        <w:rPr>
          <w:rFonts w:ascii="宋体" w:hAnsi="宋体" w:eastAsia="宋体" w:cs="宋体"/>
          <w:b/>
          <w:bCs/>
          <w:color w:val="auto"/>
          <w:sz w:val="21"/>
          <w:szCs w:val="21"/>
        </w:rPr>
        <w:t>（4）期末公司已质押的应收款项融资</w:t>
      </w:r>
      <w:bookmarkEnd w:id="104"/>
    </w:p>
    <w:p w14:paraId="0E210D9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0CE753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8BA23A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6C6999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期末已质押金额</w:t>
            </w:r>
          </w:p>
        </w:tc>
      </w:tr>
    </w:tbl>
    <w:p w14:paraId="1B99C28B">
      <w:pPr>
        <w:keepNext/>
        <w:keepLines/>
        <w:spacing w:before="300" w:after="300" w:line="280" w:lineRule="exact"/>
        <w:jc w:val="left"/>
        <w:outlineLvl w:val="3"/>
        <w:rPr>
          <w:rFonts w:ascii="宋体" w:hAnsi="宋体" w:eastAsia="宋体" w:cs="宋体"/>
          <w:b/>
          <w:bCs/>
          <w:color w:val="auto"/>
          <w:sz w:val="21"/>
          <w:szCs w:val="21"/>
        </w:rPr>
      </w:pPr>
      <w:bookmarkStart w:id="105" w:name="_Toc989081"/>
      <w:r>
        <w:rPr>
          <w:rFonts w:ascii="宋体" w:hAnsi="宋体" w:eastAsia="宋体" w:cs="宋体"/>
          <w:b/>
          <w:bCs/>
          <w:color w:val="auto"/>
          <w:sz w:val="21"/>
          <w:szCs w:val="21"/>
        </w:rPr>
        <w:t>（5）期末公司已背书或贴现且在资产负债表日尚未到期的应收款项融资</w:t>
      </w:r>
      <w:bookmarkEnd w:id="105"/>
    </w:p>
    <w:p w14:paraId="54AE2DA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684CA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936AB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9E77E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期末终止确认金额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4B734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期末未终止确认金额</w:t>
            </w:r>
          </w:p>
        </w:tc>
      </w:tr>
      <w:tr w14:paraId="170AA3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D8CE72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银行承兑票据</w:t>
            </w:r>
          </w:p>
        </w:tc>
        <w:tc>
          <w:tcPr>
            <w:tcW w:w="3213" w:type="dxa"/>
            <w:tcBorders>
              <w:top w:val="single" w:color="auto" w:sz="2" w:space="0"/>
              <w:left w:val="single" w:color="auto" w:sz="2" w:space="0"/>
              <w:bottom w:val="single" w:color="auto" w:sz="2" w:space="0"/>
              <w:right w:val="single" w:color="auto" w:sz="2" w:space="0"/>
            </w:tcBorders>
            <w:vAlign w:val="center"/>
          </w:tcPr>
          <w:p w14:paraId="5F3BABA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544,216.00</w:t>
            </w:r>
          </w:p>
        </w:tc>
        <w:tc>
          <w:tcPr>
            <w:tcW w:w="3213" w:type="dxa"/>
            <w:tcBorders>
              <w:top w:val="single" w:color="auto" w:sz="2" w:space="0"/>
              <w:left w:val="single" w:color="auto" w:sz="2" w:space="0"/>
              <w:bottom w:val="single" w:color="auto" w:sz="2" w:space="0"/>
              <w:right w:val="single" w:color="auto" w:sz="2" w:space="0"/>
            </w:tcBorders>
            <w:vAlign w:val="center"/>
          </w:tcPr>
          <w:p w14:paraId="36539574">
            <w:pPr>
              <w:spacing w:before="0" w:after="0" w:line="240" w:lineRule="exact"/>
              <w:jc w:val="right"/>
              <w:rPr>
                <w:rFonts w:ascii="宋体" w:hAnsi="宋体" w:eastAsia="宋体" w:cs="宋体"/>
                <w:color w:val="auto"/>
                <w:sz w:val="18"/>
                <w:szCs w:val="18"/>
              </w:rPr>
            </w:pPr>
          </w:p>
        </w:tc>
      </w:tr>
      <w:tr w14:paraId="4EA856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97539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7C8FEB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544,216.00</w:t>
            </w:r>
          </w:p>
        </w:tc>
        <w:tc>
          <w:tcPr>
            <w:tcW w:w="3213" w:type="dxa"/>
            <w:tcBorders>
              <w:top w:val="single" w:color="auto" w:sz="2" w:space="0"/>
              <w:left w:val="single" w:color="auto" w:sz="2" w:space="0"/>
              <w:bottom w:val="single" w:color="auto" w:sz="2" w:space="0"/>
              <w:right w:val="single" w:color="auto" w:sz="2" w:space="0"/>
            </w:tcBorders>
            <w:vAlign w:val="center"/>
          </w:tcPr>
          <w:p w14:paraId="6CE05E55">
            <w:pPr>
              <w:spacing w:before="0" w:after="0" w:line="240" w:lineRule="exact"/>
              <w:jc w:val="right"/>
              <w:rPr>
                <w:rFonts w:ascii="宋体" w:hAnsi="宋体" w:eastAsia="宋体" w:cs="宋体"/>
                <w:color w:val="auto"/>
                <w:sz w:val="18"/>
                <w:szCs w:val="18"/>
              </w:rPr>
            </w:pPr>
          </w:p>
        </w:tc>
      </w:tr>
    </w:tbl>
    <w:p w14:paraId="11837B56">
      <w:pPr>
        <w:keepNext/>
        <w:keepLines/>
        <w:spacing w:before="300" w:after="300" w:line="280" w:lineRule="exact"/>
        <w:jc w:val="left"/>
        <w:outlineLvl w:val="3"/>
        <w:rPr>
          <w:rFonts w:ascii="宋体" w:hAnsi="宋体" w:eastAsia="宋体" w:cs="宋体"/>
          <w:b/>
          <w:bCs/>
          <w:color w:val="auto"/>
          <w:sz w:val="18"/>
          <w:szCs w:val="18"/>
        </w:rPr>
      </w:pPr>
      <w:bookmarkStart w:id="106" w:name="_Toc989082"/>
      <w:r>
        <w:rPr>
          <w:rFonts w:ascii="宋体" w:hAnsi="宋体" w:eastAsia="宋体" w:cs="宋体"/>
          <w:b/>
          <w:bCs/>
          <w:color w:val="auto"/>
          <w:sz w:val="18"/>
          <w:szCs w:val="18"/>
        </w:rPr>
        <w:t>（6）本期实际核销的应收款项融资情况</w:t>
      </w:r>
      <w:bookmarkEnd w:id="106"/>
    </w:p>
    <w:p w14:paraId="1B2E4C5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72029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88CBF3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9E2500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737503C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其中重要的应收款项融资核销情况</w:t>
      </w:r>
    </w:p>
    <w:p w14:paraId="06C665A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30F11F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BEF376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9846F3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C2678D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122E62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0C6E4E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F179DB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39F2AA6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核销说明：</w:t>
      </w:r>
    </w:p>
    <w:p w14:paraId="7B08B8A9">
      <w:pPr>
        <w:keepNext/>
        <w:keepLines/>
        <w:spacing w:before="300" w:after="300" w:line="280" w:lineRule="exact"/>
        <w:jc w:val="left"/>
        <w:outlineLvl w:val="3"/>
        <w:rPr>
          <w:rFonts w:ascii="宋体" w:hAnsi="宋体" w:eastAsia="宋体" w:cs="宋体"/>
          <w:b/>
          <w:bCs/>
          <w:color w:val="auto"/>
          <w:sz w:val="18"/>
          <w:szCs w:val="18"/>
        </w:rPr>
      </w:pPr>
      <w:bookmarkStart w:id="107" w:name="_Toc989083"/>
      <w:r>
        <w:rPr>
          <w:rFonts w:ascii="宋体" w:hAnsi="宋体" w:eastAsia="宋体" w:cs="宋体"/>
          <w:b/>
          <w:bCs/>
          <w:color w:val="auto"/>
          <w:sz w:val="18"/>
          <w:szCs w:val="18"/>
        </w:rPr>
        <w:t>（7）应收款项融资本期增减变动及公允价值变动情况</w:t>
      </w:r>
      <w:bookmarkEnd w:id="107"/>
    </w:p>
    <w:p w14:paraId="6732A182">
      <w:pPr>
        <w:keepNext/>
        <w:keepLines/>
        <w:spacing w:before="300" w:after="300" w:line="280" w:lineRule="exact"/>
        <w:jc w:val="left"/>
        <w:outlineLvl w:val="3"/>
        <w:rPr>
          <w:rFonts w:ascii="宋体" w:hAnsi="宋体" w:eastAsia="宋体" w:cs="宋体"/>
          <w:b/>
          <w:bCs/>
          <w:color w:val="auto"/>
          <w:sz w:val="18"/>
          <w:szCs w:val="18"/>
        </w:rPr>
      </w:pPr>
      <w:bookmarkStart w:id="108" w:name="_Toc989084"/>
      <w:r>
        <w:rPr>
          <w:rFonts w:ascii="宋体" w:hAnsi="宋体" w:eastAsia="宋体" w:cs="宋体"/>
          <w:b/>
          <w:bCs/>
          <w:color w:val="auto"/>
          <w:sz w:val="18"/>
          <w:szCs w:val="18"/>
        </w:rPr>
        <w:t>（8）其他说明</w:t>
      </w:r>
      <w:bookmarkEnd w:id="108"/>
    </w:p>
    <w:p w14:paraId="62E217D7">
      <w:pPr>
        <w:keepNext/>
        <w:keepLines/>
        <w:spacing w:before="300" w:after="300" w:line="280" w:lineRule="exact"/>
        <w:jc w:val="left"/>
        <w:outlineLvl w:val="2"/>
        <w:rPr>
          <w:rFonts w:ascii="宋体" w:hAnsi="宋体" w:eastAsia="宋体" w:cs="宋体"/>
          <w:b/>
          <w:bCs/>
          <w:color w:val="auto"/>
          <w:sz w:val="21"/>
          <w:szCs w:val="21"/>
        </w:rPr>
      </w:pPr>
      <w:bookmarkStart w:id="109" w:name="_Toc989085"/>
      <w:r>
        <w:rPr>
          <w:rFonts w:ascii="宋体" w:hAnsi="宋体" w:eastAsia="宋体" w:cs="宋体"/>
          <w:b/>
          <w:bCs/>
          <w:color w:val="auto"/>
          <w:sz w:val="21"/>
          <w:szCs w:val="21"/>
        </w:rPr>
        <w:t>8、其他应收款</w:t>
      </w:r>
      <w:bookmarkEnd w:id="109"/>
    </w:p>
    <w:p w14:paraId="6007A8A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C0E7D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4E98E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53F2B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8FCB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03B31D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64F70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0734C1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1,392,198.76</w:t>
            </w:r>
          </w:p>
        </w:tc>
        <w:tc>
          <w:tcPr>
            <w:tcW w:w="3213" w:type="dxa"/>
            <w:tcBorders>
              <w:top w:val="single" w:color="auto" w:sz="2" w:space="0"/>
              <w:left w:val="single" w:color="auto" w:sz="2" w:space="0"/>
              <w:bottom w:val="single" w:color="auto" w:sz="2" w:space="0"/>
              <w:right w:val="single" w:color="auto" w:sz="2" w:space="0"/>
            </w:tcBorders>
            <w:vAlign w:val="center"/>
          </w:tcPr>
          <w:p w14:paraId="0914F73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4,287,785.99</w:t>
            </w:r>
          </w:p>
        </w:tc>
      </w:tr>
      <w:tr w14:paraId="360EF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3EFC6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883CA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1,392,198.76</w:t>
            </w:r>
          </w:p>
        </w:tc>
        <w:tc>
          <w:tcPr>
            <w:tcW w:w="3213" w:type="dxa"/>
            <w:tcBorders>
              <w:top w:val="single" w:color="auto" w:sz="2" w:space="0"/>
              <w:left w:val="single" w:color="auto" w:sz="2" w:space="0"/>
              <w:bottom w:val="single" w:color="auto" w:sz="2" w:space="0"/>
              <w:right w:val="single" w:color="auto" w:sz="2" w:space="0"/>
            </w:tcBorders>
            <w:vAlign w:val="center"/>
          </w:tcPr>
          <w:p w14:paraId="070FBC6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4,287,785.99</w:t>
            </w:r>
          </w:p>
        </w:tc>
      </w:tr>
    </w:tbl>
    <w:p w14:paraId="1E126F89">
      <w:pPr>
        <w:keepNext/>
        <w:keepLines/>
        <w:spacing w:before="300" w:after="300" w:line="280" w:lineRule="exact"/>
        <w:jc w:val="left"/>
        <w:outlineLvl w:val="3"/>
        <w:rPr>
          <w:rFonts w:ascii="宋体" w:hAnsi="宋体" w:eastAsia="宋体" w:cs="宋体"/>
          <w:b/>
          <w:bCs/>
          <w:color w:val="auto"/>
          <w:sz w:val="21"/>
          <w:szCs w:val="21"/>
        </w:rPr>
      </w:pPr>
      <w:bookmarkStart w:id="110" w:name="_Toc989086"/>
      <w:r>
        <w:rPr>
          <w:rFonts w:ascii="宋体" w:hAnsi="宋体" w:eastAsia="宋体" w:cs="宋体"/>
          <w:b/>
          <w:bCs/>
          <w:color w:val="auto"/>
          <w:sz w:val="21"/>
          <w:szCs w:val="21"/>
        </w:rPr>
        <w:t>（1）应收利息</w:t>
      </w:r>
      <w:bookmarkEnd w:id="110"/>
    </w:p>
    <w:p w14:paraId="2111D42E">
      <w:pPr>
        <w:keepNext/>
        <w:keepLines/>
        <w:spacing w:before="300" w:after="300" w:line="280" w:lineRule="exact"/>
        <w:jc w:val="left"/>
        <w:outlineLvl w:val="4"/>
        <w:rPr>
          <w:rFonts w:ascii="宋体" w:hAnsi="宋体" w:eastAsia="宋体" w:cs="宋体"/>
          <w:b/>
          <w:bCs/>
          <w:color w:val="auto"/>
          <w:sz w:val="21"/>
          <w:szCs w:val="21"/>
        </w:rPr>
      </w:pPr>
      <w:bookmarkStart w:id="111" w:name="_Toc989087"/>
      <w:r>
        <w:rPr>
          <w:rFonts w:ascii="宋体" w:hAnsi="宋体" w:eastAsia="宋体" w:cs="宋体"/>
          <w:b/>
          <w:bCs/>
          <w:color w:val="auto"/>
          <w:sz w:val="21"/>
          <w:szCs w:val="21"/>
        </w:rPr>
        <w:t>1）应收利息分类</w:t>
      </w:r>
      <w:bookmarkEnd w:id="111"/>
    </w:p>
    <w:p w14:paraId="38D8574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5D9BA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89ABF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A5063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3AEAD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09A2403C">
      <w:pPr>
        <w:keepNext/>
        <w:keepLines/>
        <w:spacing w:before="300" w:after="300" w:line="280" w:lineRule="exact"/>
        <w:jc w:val="left"/>
        <w:outlineLvl w:val="4"/>
        <w:rPr>
          <w:rFonts w:ascii="宋体" w:hAnsi="宋体" w:eastAsia="宋体" w:cs="宋体"/>
          <w:b/>
          <w:bCs/>
          <w:color w:val="auto"/>
          <w:sz w:val="21"/>
          <w:szCs w:val="21"/>
        </w:rPr>
      </w:pPr>
      <w:bookmarkStart w:id="112" w:name="_Toc989088"/>
      <w:r>
        <w:rPr>
          <w:rFonts w:ascii="宋体" w:hAnsi="宋体" w:eastAsia="宋体" w:cs="宋体"/>
          <w:b/>
          <w:bCs/>
          <w:color w:val="auto"/>
          <w:sz w:val="21"/>
          <w:szCs w:val="21"/>
        </w:rPr>
        <w:t>2）重要逾期利息</w:t>
      </w:r>
      <w:bookmarkEnd w:id="112"/>
    </w:p>
    <w:p w14:paraId="12F7D13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9B7E1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82D4C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借款单位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0674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2E0C2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逾期时间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6B20F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2914DA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是否发生减值及其判断依据</w:t>
            </w:r>
          </w:p>
        </w:tc>
      </w:tr>
    </w:tbl>
    <w:p w14:paraId="6FCD3F3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B984DF1">
      <w:pPr>
        <w:keepNext/>
        <w:keepLines/>
        <w:spacing w:before="300" w:after="300" w:line="280" w:lineRule="exact"/>
        <w:jc w:val="left"/>
        <w:outlineLvl w:val="4"/>
        <w:rPr>
          <w:rFonts w:ascii="宋体" w:hAnsi="宋体" w:eastAsia="宋体" w:cs="宋体"/>
          <w:b/>
          <w:bCs/>
          <w:color w:val="auto"/>
          <w:sz w:val="21"/>
          <w:szCs w:val="21"/>
        </w:rPr>
      </w:pPr>
      <w:bookmarkStart w:id="113" w:name="_Toc989089"/>
      <w:r>
        <w:rPr>
          <w:rFonts w:ascii="宋体" w:hAnsi="宋体" w:eastAsia="宋体" w:cs="宋体"/>
          <w:b/>
          <w:bCs/>
          <w:color w:val="auto"/>
          <w:sz w:val="21"/>
          <w:szCs w:val="21"/>
        </w:rPr>
        <w:t>3）按坏账计提方法分类披露</w:t>
      </w:r>
      <w:bookmarkEnd w:id="113"/>
    </w:p>
    <w:p w14:paraId="1F66FB1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37B667AB">
      <w:pPr>
        <w:keepNext/>
        <w:keepLines/>
        <w:spacing w:before="300" w:after="300" w:line="280" w:lineRule="exact"/>
        <w:jc w:val="left"/>
        <w:outlineLvl w:val="4"/>
        <w:rPr>
          <w:rFonts w:ascii="宋体" w:hAnsi="宋体" w:eastAsia="宋体" w:cs="宋体"/>
          <w:b/>
          <w:bCs/>
          <w:color w:val="auto"/>
          <w:sz w:val="18"/>
          <w:szCs w:val="18"/>
        </w:rPr>
      </w:pPr>
      <w:bookmarkStart w:id="114" w:name="_Toc989090"/>
      <w:r>
        <w:rPr>
          <w:rFonts w:ascii="宋体" w:hAnsi="宋体" w:eastAsia="宋体" w:cs="宋体"/>
          <w:b/>
          <w:bCs/>
          <w:color w:val="auto"/>
          <w:sz w:val="18"/>
          <w:szCs w:val="18"/>
        </w:rPr>
        <w:t>4）本期计提、收回或转回的坏账准备的情况</w:t>
      </w:r>
      <w:bookmarkEnd w:id="114"/>
    </w:p>
    <w:p w14:paraId="08A9F632">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8A1F9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79E189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A92958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C7ED9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C186C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36E166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3E4AC41">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A3869A2">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37F3F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16F2E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AE89E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ED24B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966EC90">
            <w:pPr>
              <w:rPr>
                <w:color w:val="auto"/>
              </w:rPr>
            </w:pPr>
          </w:p>
        </w:tc>
      </w:tr>
    </w:tbl>
    <w:p w14:paraId="4FBDEA8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其中本期坏账准备收回或转回金额重要的：</w:t>
      </w:r>
    </w:p>
    <w:p w14:paraId="1188C9C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0D4698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314E0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ABC67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3FDE4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60C7E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476085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5E0A511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363B03B">
      <w:pPr>
        <w:keepNext/>
        <w:keepLines/>
        <w:spacing w:before="300" w:after="300" w:line="280" w:lineRule="exact"/>
        <w:jc w:val="left"/>
        <w:outlineLvl w:val="4"/>
        <w:rPr>
          <w:rFonts w:ascii="宋体" w:hAnsi="宋体" w:eastAsia="宋体" w:cs="宋体"/>
          <w:b/>
          <w:bCs/>
          <w:color w:val="auto"/>
          <w:sz w:val="18"/>
          <w:szCs w:val="18"/>
        </w:rPr>
      </w:pPr>
      <w:bookmarkStart w:id="115" w:name="_Toc989091"/>
      <w:r>
        <w:rPr>
          <w:rFonts w:ascii="宋体" w:hAnsi="宋体" w:eastAsia="宋体" w:cs="宋体"/>
          <w:b/>
          <w:bCs/>
          <w:color w:val="auto"/>
          <w:sz w:val="18"/>
          <w:szCs w:val="18"/>
        </w:rPr>
        <w:t>5）本期实际核销的应收利息情况</w:t>
      </w:r>
      <w:bookmarkEnd w:id="115"/>
    </w:p>
    <w:p w14:paraId="1342775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597A09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D9C7AD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B5E66A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2314B17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其中重要的应收利息核销情况</w:t>
      </w:r>
    </w:p>
    <w:p w14:paraId="4E64779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611632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A6213F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643FC9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A059E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55EC4E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86342E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F99FDD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0A90E0E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核销说明：</w:t>
      </w:r>
    </w:p>
    <w:p w14:paraId="306834C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B3299B0">
      <w:pPr>
        <w:keepNext/>
        <w:keepLines/>
        <w:spacing w:before="300" w:after="300" w:line="280" w:lineRule="exact"/>
        <w:jc w:val="left"/>
        <w:outlineLvl w:val="3"/>
        <w:rPr>
          <w:rFonts w:ascii="宋体" w:hAnsi="宋体" w:eastAsia="宋体" w:cs="宋体"/>
          <w:b/>
          <w:bCs/>
          <w:color w:val="auto"/>
          <w:sz w:val="21"/>
          <w:szCs w:val="21"/>
        </w:rPr>
      </w:pPr>
      <w:bookmarkStart w:id="116" w:name="_Toc989092"/>
      <w:r>
        <w:rPr>
          <w:rFonts w:ascii="宋体" w:hAnsi="宋体" w:eastAsia="宋体" w:cs="宋体"/>
          <w:b/>
          <w:bCs/>
          <w:color w:val="auto"/>
          <w:sz w:val="21"/>
          <w:szCs w:val="21"/>
        </w:rPr>
        <w:t>（2）应收股利</w:t>
      </w:r>
      <w:bookmarkEnd w:id="116"/>
    </w:p>
    <w:p w14:paraId="3DE436AB">
      <w:pPr>
        <w:keepNext/>
        <w:keepLines/>
        <w:spacing w:before="300" w:after="300" w:line="280" w:lineRule="exact"/>
        <w:jc w:val="left"/>
        <w:outlineLvl w:val="4"/>
        <w:rPr>
          <w:rFonts w:ascii="宋体" w:hAnsi="宋体" w:eastAsia="宋体" w:cs="宋体"/>
          <w:b/>
          <w:bCs/>
          <w:color w:val="auto"/>
          <w:sz w:val="21"/>
          <w:szCs w:val="21"/>
        </w:rPr>
      </w:pPr>
      <w:bookmarkStart w:id="117" w:name="_Toc989093"/>
      <w:r>
        <w:rPr>
          <w:rFonts w:ascii="宋体" w:hAnsi="宋体" w:eastAsia="宋体" w:cs="宋体"/>
          <w:b/>
          <w:bCs/>
          <w:color w:val="auto"/>
          <w:sz w:val="21"/>
          <w:szCs w:val="21"/>
        </w:rPr>
        <w:t>1）应收股利分类</w:t>
      </w:r>
      <w:bookmarkEnd w:id="117"/>
    </w:p>
    <w:p w14:paraId="2049ADA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81BDE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01B8C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项目(或被投资单位)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BD96D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B2A67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1894E1E0">
      <w:pPr>
        <w:keepNext/>
        <w:keepLines/>
        <w:spacing w:before="300" w:after="300" w:line="280" w:lineRule="exact"/>
        <w:jc w:val="left"/>
        <w:outlineLvl w:val="4"/>
        <w:rPr>
          <w:rFonts w:ascii="宋体" w:hAnsi="宋体" w:eastAsia="宋体" w:cs="宋体"/>
          <w:b/>
          <w:bCs/>
          <w:color w:val="auto"/>
          <w:sz w:val="21"/>
          <w:szCs w:val="21"/>
        </w:rPr>
      </w:pPr>
      <w:bookmarkStart w:id="118" w:name="_Toc989094"/>
      <w:r>
        <w:rPr>
          <w:rFonts w:ascii="宋体" w:hAnsi="宋体" w:eastAsia="宋体" w:cs="宋体"/>
          <w:b/>
          <w:bCs/>
          <w:color w:val="auto"/>
          <w:sz w:val="21"/>
          <w:szCs w:val="21"/>
        </w:rPr>
        <w:t>2）重要的账龄超过1年的应收股利</w:t>
      </w:r>
      <w:bookmarkEnd w:id="118"/>
    </w:p>
    <w:p w14:paraId="6424DF1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78F3D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E923CF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项目(或被投资单位)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2341A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0D979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账龄</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E8D419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未收回的原因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2A5C6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是否发生减值及其判断依据</w:t>
            </w:r>
          </w:p>
        </w:tc>
      </w:tr>
    </w:tbl>
    <w:p w14:paraId="28F8871D">
      <w:pPr>
        <w:keepNext/>
        <w:keepLines/>
        <w:spacing w:before="300" w:after="300" w:line="280" w:lineRule="exact"/>
        <w:jc w:val="left"/>
        <w:outlineLvl w:val="4"/>
        <w:rPr>
          <w:rFonts w:ascii="宋体" w:hAnsi="宋体" w:eastAsia="宋体" w:cs="宋体"/>
          <w:b/>
          <w:bCs/>
          <w:color w:val="auto"/>
          <w:sz w:val="21"/>
          <w:szCs w:val="21"/>
        </w:rPr>
      </w:pPr>
      <w:bookmarkStart w:id="119" w:name="_Toc989095"/>
      <w:r>
        <w:rPr>
          <w:rFonts w:ascii="宋体" w:hAnsi="宋体" w:eastAsia="宋体" w:cs="宋体"/>
          <w:b/>
          <w:bCs/>
          <w:color w:val="auto"/>
          <w:sz w:val="21"/>
          <w:szCs w:val="21"/>
        </w:rPr>
        <w:t>3）按坏账计提方法分类披露</w:t>
      </w:r>
      <w:bookmarkEnd w:id="119"/>
    </w:p>
    <w:p w14:paraId="586025D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110F68FA">
      <w:pPr>
        <w:keepNext/>
        <w:keepLines/>
        <w:spacing w:before="300" w:after="300" w:line="280" w:lineRule="exact"/>
        <w:jc w:val="left"/>
        <w:outlineLvl w:val="4"/>
        <w:rPr>
          <w:rFonts w:ascii="宋体" w:hAnsi="宋体" w:eastAsia="宋体" w:cs="宋体"/>
          <w:b/>
          <w:bCs/>
          <w:color w:val="auto"/>
          <w:sz w:val="21"/>
          <w:szCs w:val="21"/>
        </w:rPr>
      </w:pPr>
      <w:bookmarkStart w:id="120" w:name="_Toc989096"/>
      <w:r>
        <w:rPr>
          <w:rFonts w:ascii="宋体" w:hAnsi="宋体" w:eastAsia="宋体" w:cs="宋体"/>
          <w:b/>
          <w:bCs/>
          <w:color w:val="auto"/>
          <w:sz w:val="21"/>
          <w:szCs w:val="21"/>
        </w:rPr>
        <w:t>4）本期计提、收回或转回的坏账准备的情况</w:t>
      </w:r>
      <w:bookmarkEnd w:id="120"/>
    </w:p>
    <w:p w14:paraId="43D2482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5A59F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9AFD64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E2D47B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6E5879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E03F9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175E2A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8F4FBDE">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D053E1">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0D55C4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988C97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BD44F3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BFC11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78871E3">
            <w:pPr>
              <w:rPr>
                <w:color w:val="auto"/>
              </w:rPr>
            </w:pPr>
          </w:p>
        </w:tc>
      </w:tr>
    </w:tbl>
    <w:p w14:paraId="2837FB1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其中本期坏账准备收回或转回金额重要的：</w:t>
      </w:r>
    </w:p>
    <w:p w14:paraId="15A2B54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8C9CB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2B4F29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5562CD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01A1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A428E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0B52A0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628A936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A689810">
      <w:pPr>
        <w:keepNext/>
        <w:keepLines/>
        <w:spacing w:before="300" w:after="300" w:line="280" w:lineRule="exact"/>
        <w:jc w:val="left"/>
        <w:outlineLvl w:val="4"/>
        <w:rPr>
          <w:rFonts w:ascii="宋体" w:hAnsi="宋体" w:eastAsia="宋体" w:cs="宋体"/>
          <w:b/>
          <w:bCs/>
          <w:color w:val="auto"/>
          <w:sz w:val="21"/>
          <w:szCs w:val="21"/>
        </w:rPr>
      </w:pPr>
      <w:bookmarkStart w:id="121" w:name="_Toc989097"/>
      <w:r>
        <w:rPr>
          <w:rFonts w:ascii="宋体" w:hAnsi="宋体" w:eastAsia="宋体" w:cs="宋体"/>
          <w:b/>
          <w:bCs/>
          <w:color w:val="auto"/>
          <w:sz w:val="21"/>
          <w:szCs w:val="21"/>
        </w:rPr>
        <w:t>5）本期实际核销的应收股利情况</w:t>
      </w:r>
      <w:bookmarkEnd w:id="121"/>
    </w:p>
    <w:p w14:paraId="5F235AC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7D2B5D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360EFC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B83AC5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199F1AF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其中重要的应收股利核销情况</w:t>
      </w:r>
    </w:p>
    <w:p w14:paraId="58C6393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6FA21F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595331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9E7DDE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216E14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40D881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22DC08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B59AD2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3EB6779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核销说明：</w:t>
      </w:r>
    </w:p>
    <w:p w14:paraId="4933D26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E0F0334">
      <w:pPr>
        <w:keepNext/>
        <w:keepLines/>
        <w:spacing w:before="300" w:after="300" w:line="280" w:lineRule="exact"/>
        <w:jc w:val="left"/>
        <w:outlineLvl w:val="3"/>
        <w:rPr>
          <w:rFonts w:ascii="宋体" w:hAnsi="宋体" w:eastAsia="宋体" w:cs="宋体"/>
          <w:b/>
          <w:bCs/>
          <w:color w:val="auto"/>
          <w:sz w:val="21"/>
          <w:szCs w:val="21"/>
        </w:rPr>
      </w:pPr>
      <w:bookmarkStart w:id="122" w:name="_Toc989098"/>
      <w:r>
        <w:rPr>
          <w:rFonts w:ascii="宋体" w:hAnsi="宋体" w:eastAsia="宋体" w:cs="宋体"/>
          <w:b/>
          <w:bCs/>
          <w:color w:val="auto"/>
          <w:sz w:val="21"/>
          <w:szCs w:val="21"/>
        </w:rPr>
        <w:t>（3）其他应收款</w:t>
      </w:r>
      <w:bookmarkEnd w:id="122"/>
    </w:p>
    <w:p w14:paraId="2995780B">
      <w:pPr>
        <w:keepNext/>
        <w:keepLines/>
        <w:spacing w:before="300" w:after="300" w:line="280" w:lineRule="exact"/>
        <w:jc w:val="left"/>
        <w:outlineLvl w:val="4"/>
        <w:rPr>
          <w:rFonts w:ascii="宋体" w:hAnsi="宋体" w:eastAsia="宋体" w:cs="宋体"/>
          <w:b/>
          <w:bCs/>
          <w:color w:val="auto"/>
          <w:sz w:val="21"/>
          <w:szCs w:val="21"/>
        </w:rPr>
      </w:pPr>
      <w:bookmarkStart w:id="123" w:name="_Toc989099"/>
      <w:r>
        <w:rPr>
          <w:rFonts w:ascii="宋体" w:hAnsi="宋体" w:eastAsia="宋体" w:cs="宋体"/>
          <w:b/>
          <w:bCs/>
          <w:color w:val="auto"/>
          <w:sz w:val="21"/>
          <w:szCs w:val="21"/>
        </w:rPr>
        <w:t>1）其他应收款按款项性质分类情况</w:t>
      </w:r>
      <w:bookmarkEnd w:id="123"/>
    </w:p>
    <w:p w14:paraId="5B7717D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4D87B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2BCB6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款项性质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19E1A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5A65B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期初账面余额</w:t>
            </w:r>
          </w:p>
        </w:tc>
      </w:tr>
      <w:tr w14:paraId="1E2F15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136DD8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保证金、押金及员工备用金</w:t>
            </w:r>
          </w:p>
        </w:tc>
        <w:tc>
          <w:tcPr>
            <w:tcW w:w="3213" w:type="dxa"/>
            <w:tcBorders>
              <w:top w:val="single" w:color="auto" w:sz="2" w:space="0"/>
              <w:left w:val="single" w:color="auto" w:sz="2" w:space="0"/>
              <w:bottom w:val="single" w:color="auto" w:sz="2" w:space="0"/>
              <w:right w:val="single" w:color="auto" w:sz="2" w:space="0"/>
            </w:tcBorders>
            <w:vAlign w:val="center"/>
          </w:tcPr>
          <w:p w14:paraId="34D0F2D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833,600.00</w:t>
            </w:r>
          </w:p>
        </w:tc>
        <w:tc>
          <w:tcPr>
            <w:tcW w:w="3213" w:type="dxa"/>
            <w:tcBorders>
              <w:top w:val="single" w:color="auto" w:sz="2" w:space="0"/>
              <w:left w:val="single" w:color="auto" w:sz="2" w:space="0"/>
              <w:bottom w:val="single" w:color="auto" w:sz="2" w:space="0"/>
              <w:right w:val="single" w:color="auto" w:sz="2" w:space="0"/>
            </w:tcBorders>
            <w:vAlign w:val="center"/>
          </w:tcPr>
          <w:p w14:paraId="78F0EB7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3,755,951.31</w:t>
            </w:r>
          </w:p>
        </w:tc>
      </w:tr>
      <w:tr w14:paraId="496CAA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EE588D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141960C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1,090,878.69</w:t>
            </w:r>
          </w:p>
        </w:tc>
        <w:tc>
          <w:tcPr>
            <w:tcW w:w="3213" w:type="dxa"/>
            <w:tcBorders>
              <w:top w:val="single" w:color="auto" w:sz="2" w:space="0"/>
              <w:left w:val="single" w:color="auto" w:sz="2" w:space="0"/>
              <w:bottom w:val="single" w:color="auto" w:sz="2" w:space="0"/>
              <w:right w:val="single" w:color="auto" w:sz="2" w:space="0"/>
            </w:tcBorders>
            <w:vAlign w:val="center"/>
          </w:tcPr>
          <w:p w14:paraId="64080FC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1,062,705.97</w:t>
            </w:r>
          </w:p>
        </w:tc>
      </w:tr>
      <w:tr w14:paraId="2CDB4E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B6BAE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A451F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1,924,478.69</w:t>
            </w:r>
          </w:p>
        </w:tc>
        <w:tc>
          <w:tcPr>
            <w:tcW w:w="3213" w:type="dxa"/>
            <w:tcBorders>
              <w:top w:val="single" w:color="auto" w:sz="2" w:space="0"/>
              <w:left w:val="single" w:color="auto" w:sz="2" w:space="0"/>
              <w:bottom w:val="single" w:color="auto" w:sz="2" w:space="0"/>
              <w:right w:val="single" w:color="auto" w:sz="2" w:space="0"/>
            </w:tcBorders>
            <w:vAlign w:val="center"/>
          </w:tcPr>
          <w:p w14:paraId="0F891C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4,818,657.28</w:t>
            </w:r>
          </w:p>
        </w:tc>
      </w:tr>
    </w:tbl>
    <w:p w14:paraId="0F6C52FA">
      <w:pPr>
        <w:keepNext/>
        <w:keepLines/>
        <w:spacing w:before="300" w:after="300" w:line="280" w:lineRule="exact"/>
        <w:jc w:val="left"/>
        <w:outlineLvl w:val="4"/>
        <w:rPr>
          <w:rFonts w:ascii="宋体" w:hAnsi="宋体" w:eastAsia="宋体" w:cs="宋体"/>
          <w:b/>
          <w:bCs/>
          <w:color w:val="auto"/>
          <w:sz w:val="21"/>
          <w:szCs w:val="21"/>
        </w:rPr>
      </w:pPr>
      <w:bookmarkStart w:id="124" w:name="_Toc989100"/>
      <w:r>
        <w:rPr>
          <w:rFonts w:ascii="宋体" w:hAnsi="宋体" w:eastAsia="宋体" w:cs="宋体"/>
          <w:b/>
          <w:bCs/>
          <w:color w:val="auto"/>
          <w:sz w:val="21"/>
          <w:szCs w:val="21"/>
        </w:rPr>
        <w:t>2）按账龄披露</w:t>
      </w:r>
      <w:bookmarkEnd w:id="124"/>
    </w:p>
    <w:p w14:paraId="2E1A7566">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B04C1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A53C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EECD2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6A5E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期初账面余额</w:t>
            </w:r>
          </w:p>
        </w:tc>
      </w:tr>
      <w:tr w14:paraId="601D35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0B5E8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78278E6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712,548.69</w:t>
            </w:r>
          </w:p>
        </w:tc>
        <w:tc>
          <w:tcPr>
            <w:tcW w:w="3213" w:type="dxa"/>
            <w:tcBorders>
              <w:top w:val="single" w:color="auto" w:sz="2" w:space="0"/>
              <w:left w:val="single" w:color="auto" w:sz="2" w:space="0"/>
              <w:bottom w:val="single" w:color="auto" w:sz="2" w:space="0"/>
              <w:right w:val="single" w:color="auto" w:sz="2" w:space="0"/>
            </w:tcBorders>
            <w:vAlign w:val="center"/>
          </w:tcPr>
          <w:p w14:paraId="518399B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3,595,631.28</w:t>
            </w:r>
          </w:p>
        </w:tc>
      </w:tr>
      <w:tr w14:paraId="2D01D7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1EECE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0FA260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520,200.00</w:t>
            </w:r>
          </w:p>
        </w:tc>
        <w:tc>
          <w:tcPr>
            <w:tcW w:w="3213" w:type="dxa"/>
            <w:tcBorders>
              <w:top w:val="single" w:color="auto" w:sz="2" w:space="0"/>
              <w:left w:val="single" w:color="auto" w:sz="2" w:space="0"/>
              <w:bottom w:val="single" w:color="auto" w:sz="2" w:space="0"/>
              <w:right w:val="single" w:color="auto" w:sz="2" w:space="0"/>
            </w:tcBorders>
            <w:vAlign w:val="center"/>
          </w:tcPr>
          <w:p w14:paraId="528DEAF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852,896.00</w:t>
            </w:r>
          </w:p>
        </w:tc>
      </w:tr>
      <w:tr w14:paraId="0B0B85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F0459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245394A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340,000.00</w:t>
            </w:r>
          </w:p>
        </w:tc>
        <w:tc>
          <w:tcPr>
            <w:tcW w:w="3213" w:type="dxa"/>
            <w:tcBorders>
              <w:top w:val="single" w:color="auto" w:sz="2" w:space="0"/>
              <w:left w:val="single" w:color="auto" w:sz="2" w:space="0"/>
              <w:bottom w:val="single" w:color="auto" w:sz="2" w:space="0"/>
              <w:right w:val="single" w:color="auto" w:sz="2" w:space="0"/>
            </w:tcBorders>
            <w:vAlign w:val="center"/>
          </w:tcPr>
          <w:p w14:paraId="48EC53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28,000.00</w:t>
            </w:r>
          </w:p>
        </w:tc>
      </w:tr>
      <w:tr w14:paraId="31AE18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EC2F0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2D7D31D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351,730.00</w:t>
            </w:r>
          </w:p>
        </w:tc>
        <w:tc>
          <w:tcPr>
            <w:tcW w:w="3213" w:type="dxa"/>
            <w:tcBorders>
              <w:top w:val="single" w:color="auto" w:sz="2" w:space="0"/>
              <w:left w:val="single" w:color="auto" w:sz="2" w:space="0"/>
              <w:bottom w:val="single" w:color="auto" w:sz="2" w:space="0"/>
              <w:right w:val="single" w:color="auto" w:sz="2" w:space="0"/>
            </w:tcBorders>
            <w:vAlign w:val="center"/>
          </w:tcPr>
          <w:p w14:paraId="1DF2E0D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342,130.00</w:t>
            </w:r>
          </w:p>
        </w:tc>
      </w:tr>
      <w:tr w14:paraId="72FF96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16F1F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7668646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w:t>
            </w:r>
          </w:p>
        </w:tc>
        <w:tc>
          <w:tcPr>
            <w:tcW w:w="3213" w:type="dxa"/>
            <w:tcBorders>
              <w:top w:val="single" w:color="auto" w:sz="2" w:space="0"/>
              <w:left w:val="single" w:color="auto" w:sz="2" w:space="0"/>
              <w:bottom w:val="single" w:color="auto" w:sz="2" w:space="0"/>
              <w:right w:val="single" w:color="auto" w:sz="2" w:space="0"/>
            </w:tcBorders>
            <w:vAlign w:val="center"/>
          </w:tcPr>
          <w:p w14:paraId="1692B2C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30,000.00</w:t>
            </w:r>
          </w:p>
        </w:tc>
      </w:tr>
      <w:tr w14:paraId="5A1B1C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E02812">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70B6F1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3213" w:type="dxa"/>
            <w:tcBorders>
              <w:top w:val="single" w:color="auto" w:sz="2" w:space="0"/>
              <w:left w:val="single" w:color="auto" w:sz="2" w:space="0"/>
              <w:bottom w:val="single" w:color="auto" w:sz="2" w:space="0"/>
              <w:right w:val="single" w:color="auto" w:sz="2" w:space="0"/>
            </w:tcBorders>
            <w:vAlign w:val="center"/>
          </w:tcPr>
          <w:p w14:paraId="5837C1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100,350.00</w:t>
            </w:r>
          </w:p>
        </w:tc>
      </w:tr>
      <w:tr w14:paraId="267544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3EB18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6E0E951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301,730.00</w:t>
            </w:r>
          </w:p>
        </w:tc>
        <w:tc>
          <w:tcPr>
            <w:tcW w:w="3213" w:type="dxa"/>
            <w:tcBorders>
              <w:top w:val="single" w:color="auto" w:sz="2" w:space="0"/>
              <w:left w:val="single" w:color="auto" w:sz="2" w:space="0"/>
              <w:bottom w:val="single" w:color="auto" w:sz="2" w:space="0"/>
              <w:right w:val="single" w:color="auto" w:sz="2" w:space="0"/>
            </w:tcBorders>
            <w:vAlign w:val="center"/>
          </w:tcPr>
          <w:p w14:paraId="7162A7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211,780.00</w:t>
            </w:r>
          </w:p>
        </w:tc>
      </w:tr>
      <w:tr w14:paraId="70F38B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3116B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9F5925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1,924,478.69</w:t>
            </w:r>
          </w:p>
        </w:tc>
        <w:tc>
          <w:tcPr>
            <w:tcW w:w="3213" w:type="dxa"/>
            <w:tcBorders>
              <w:top w:val="single" w:color="auto" w:sz="2" w:space="0"/>
              <w:left w:val="single" w:color="auto" w:sz="2" w:space="0"/>
              <w:bottom w:val="single" w:color="auto" w:sz="2" w:space="0"/>
              <w:right w:val="single" w:color="auto" w:sz="2" w:space="0"/>
            </w:tcBorders>
            <w:vAlign w:val="center"/>
          </w:tcPr>
          <w:p w14:paraId="3A2526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4,818,657.28</w:t>
            </w:r>
          </w:p>
        </w:tc>
      </w:tr>
    </w:tbl>
    <w:p w14:paraId="34E50276">
      <w:pPr>
        <w:keepNext/>
        <w:keepLines/>
        <w:spacing w:before="300" w:after="300" w:line="280" w:lineRule="exact"/>
        <w:jc w:val="left"/>
        <w:outlineLvl w:val="4"/>
        <w:rPr>
          <w:rFonts w:ascii="宋体" w:hAnsi="宋体" w:eastAsia="宋体" w:cs="宋体"/>
          <w:b/>
          <w:bCs/>
          <w:color w:val="auto"/>
          <w:sz w:val="21"/>
          <w:szCs w:val="21"/>
        </w:rPr>
      </w:pPr>
      <w:bookmarkStart w:id="125" w:name="_Toc989101"/>
      <w:r>
        <w:rPr>
          <w:rFonts w:ascii="宋体" w:hAnsi="宋体" w:eastAsia="宋体" w:cs="宋体"/>
          <w:b/>
          <w:bCs/>
          <w:color w:val="auto"/>
          <w:sz w:val="21"/>
          <w:szCs w:val="21"/>
        </w:rPr>
        <w:t>3）按坏账计提方法分类披露</w:t>
      </w:r>
      <w:bookmarkEnd w:id="125"/>
    </w:p>
    <w:p w14:paraId="0F70EAF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sym w:font="Wingdings 2" w:char="F052"/>
      </w:r>
      <w:r>
        <w:rPr>
          <w:rFonts w:ascii="宋体" w:hAnsi="宋体" w:eastAsia="宋体" w:cs="宋体"/>
          <w:color w:val="auto"/>
          <w:sz w:val="18"/>
          <w:szCs w:val="18"/>
        </w:rPr>
        <w:t>适用□不适用</w:t>
      </w:r>
    </w:p>
    <w:p w14:paraId="24C05E2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73B26E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89906D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A5689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39AAAA2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2DCA9B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C284B7C">
            <w:pPr>
              <w:rPr>
                <w:color w:val="auto"/>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8B41D4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67946B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436E77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CF2599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F865FD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33261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132614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232333">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B67F4E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0126BE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6D2CB7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556C8D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D83A4A2">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98BC47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ACDB2A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A5597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A7C8D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3F88DD">
            <w:pPr>
              <w:rPr>
                <w:color w:val="auto"/>
              </w:rPr>
            </w:pPr>
          </w:p>
        </w:tc>
      </w:tr>
      <w:tr w14:paraId="0C94C1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54B6D6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按单项计提坏账准备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582FDFB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876" w:type="dxa"/>
            <w:tcBorders>
              <w:top w:val="single" w:color="auto" w:sz="2" w:space="0"/>
              <w:left w:val="single" w:color="auto" w:sz="2" w:space="0"/>
              <w:bottom w:val="single" w:color="auto" w:sz="2" w:space="0"/>
              <w:right w:val="single" w:color="auto" w:sz="2" w:space="0"/>
            </w:tcBorders>
            <w:vAlign w:val="center"/>
          </w:tcPr>
          <w:p w14:paraId="4D7990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25.98%</w:t>
            </w:r>
          </w:p>
        </w:tc>
        <w:tc>
          <w:tcPr>
            <w:tcW w:w="876" w:type="dxa"/>
            <w:tcBorders>
              <w:top w:val="single" w:color="auto" w:sz="2" w:space="0"/>
              <w:left w:val="single" w:color="auto" w:sz="2" w:space="0"/>
              <w:bottom w:val="single" w:color="auto" w:sz="2" w:space="0"/>
              <w:right w:val="single" w:color="auto" w:sz="2" w:space="0"/>
            </w:tcBorders>
            <w:vAlign w:val="center"/>
          </w:tcPr>
          <w:p w14:paraId="66E3CBD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876" w:type="dxa"/>
            <w:tcBorders>
              <w:top w:val="single" w:color="auto" w:sz="2" w:space="0"/>
              <w:left w:val="single" w:color="auto" w:sz="2" w:space="0"/>
              <w:bottom w:val="single" w:color="auto" w:sz="2" w:space="0"/>
              <w:right w:val="single" w:color="auto" w:sz="2" w:space="0"/>
            </w:tcBorders>
            <w:vAlign w:val="center"/>
          </w:tcPr>
          <w:p w14:paraId="6C7F1CC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501C34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77E97C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876" w:type="dxa"/>
            <w:tcBorders>
              <w:top w:val="single" w:color="auto" w:sz="2" w:space="0"/>
              <w:left w:val="single" w:color="auto" w:sz="2" w:space="0"/>
              <w:bottom w:val="single" w:color="auto" w:sz="2" w:space="0"/>
              <w:right w:val="single" w:color="auto" w:sz="2" w:space="0"/>
            </w:tcBorders>
            <w:vAlign w:val="center"/>
          </w:tcPr>
          <w:p w14:paraId="0F8384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10.38%</w:t>
            </w:r>
          </w:p>
        </w:tc>
        <w:tc>
          <w:tcPr>
            <w:tcW w:w="876" w:type="dxa"/>
            <w:tcBorders>
              <w:top w:val="single" w:color="auto" w:sz="2" w:space="0"/>
              <w:left w:val="single" w:color="auto" w:sz="2" w:space="0"/>
              <w:bottom w:val="single" w:color="auto" w:sz="2" w:space="0"/>
              <w:right w:val="single" w:color="auto" w:sz="2" w:space="0"/>
            </w:tcBorders>
            <w:vAlign w:val="center"/>
          </w:tcPr>
          <w:p w14:paraId="6E9C990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876" w:type="dxa"/>
            <w:tcBorders>
              <w:top w:val="single" w:color="auto" w:sz="2" w:space="0"/>
              <w:left w:val="single" w:color="auto" w:sz="2" w:space="0"/>
              <w:bottom w:val="single" w:color="auto" w:sz="2" w:space="0"/>
              <w:right w:val="single" w:color="auto" w:sz="2" w:space="0"/>
            </w:tcBorders>
            <w:vAlign w:val="center"/>
          </w:tcPr>
          <w:p w14:paraId="3AA2232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7BEF21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690D6E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54C3F99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r>
      <w:tr w14:paraId="12C958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B9810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6B17BF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1,424,478.69</w:t>
            </w:r>
          </w:p>
        </w:tc>
        <w:tc>
          <w:tcPr>
            <w:tcW w:w="876" w:type="dxa"/>
            <w:tcBorders>
              <w:top w:val="single" w:color="auto" w:sz="2" w:space="0"/>
              <w:left w:val="single" w:color="auto" w:sz="2" w:space="0"/>
              <w:bottom w:val="single" w:color="auto" w:sz="2" w:space="0"/>
              <w:right w:val="single" w:color="auto" w:sz="2" w:space="0"/>
            </w:tcBorders>
            <w:vAlign w:val="center"/>
          </w:tcPr>
          <w:p w14:paraId="0F2C460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74.02%</w:t>
            </w:r>
          </w:p>
        </w:tc>
        <w:tc>
          <w:tcPr>
            <w:tcW w:w="876" w:type="dxa"/>
            <w:tcBorders>
              <w:top w:val="single" w:color="auto" w:sz="2" w:space="0"/>
              <w:left w:val="single" w:color="auto" w:sz="2" w:space="0"/>
              <w:bottom w:val="single" w:color="auto" w:sz="2" w:space="0"/>
              <w:right w:val="single" w:color="auto" w:sz="2" w:space="0"/>
            </w:tcBorders>
            <w:vAlign w:val="center"/>
          </w:tcPr>
          <w:p w14:paraId="1C592F5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32,279.93</w:t>
            </w:r>
          </w:p>
        </w:tc>
        <w:tc>
          <w:tcPr>
            <w:tcW w:w="876" w:type="dxa"/>
            <w:tcBorders>
              <w:top w:val="single" w:color="auto" w:sz="2" w:space="0"/>
              <w:left w:val="single" w:color="auto" w:sz="2" w:space="0"/>
              <w:bottom w:val="single" w:color="auto" w:sz="2" w:space="0"/>
              <w:right w:val="single" w:color="auto" w:sz="2" w:space="0"/>
            </w:tcBorders>
            <w:vAlign w:val="center"/>
          </w:tcPr>
          <w:p w14:paraId="0A8DCFD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2.27%</w:t>
            </w:r>
          </w:p>
        </w:tc>
        <w:tc>
          <w:tcPr>
            <w:tcW w:w="876" w:type="dxa"/>
            <w:tcBorders>
              <w:top w:val="single" w:color="auto" w:sz="2" w:space="0"/>
              <w:left w:val="single" w:color="auto" w:sz="2" w:space="0"/>
              <w:bottom w:val="single" w:color="auto" w:sz="2" w:space="0"/>
              <w:right w:val="single" w:color="auto" w:sz="2" w:space="0"/>
            </w:tcBorders>
            <w:vAlign w:val="center"/>
          </w:tcPr>
          <w:p w14:paraId="74EB9CD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1,392,198.76</w:t>
            </w:r>
          </w:p>
        </w:tc>
        <w:tc>
          <w:tcPr>
            <w:tcW w:w="876" w:type="dxa"/>
            <w:tcBorders>
              <w:top w:val="single" w:color="auto" w:sz="2" w:space="0"/>
              <w:left w:val="single" w:color="auto" w:sz="2" w:space="0"/>
              <w:bottom w:val="single" w:color="auto" w:sz="2" w:space="0"/>
              <w:right w:val="single" w:color="auto" w:sz="2" w:space="0"/>
            </w:tcBorders>
            <w:vAlign w:val="center"/>
          </w:tcPr>
          <w:p w14:paraId="08C7E55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4,318,657.28</w:t>
            </w:r>
          </w:p>
        </w:tc>
        <w:tc>
          <w:tcPr>
            <w:tcW w:w="876" w:type="dxa"/>
            <w:tcBorders>
              <w:top w:val="single" w:color="auto" w:sz="2" w:space="0"/>
              <w:left w:val="single" w:color="auto" w:sz="2" w:space="0"/>
              <w:bottom w:val="single" w:color="auto" w:sz="2" w:space="0"/>
              <w:right w:val="single" w:color="auto" w:sz="2" w:space="0"/>
            </w:tcBorders>
            <w:vAlign w:val="center"/>
          </w:tcPr>
          <w:p w14:paraId="4FD7EA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89.62%</w:t>
            </w:r>
          </w:p>
        </w:tc>
        <w:tc>
          <w:tcPr>
            <w:tcW w:w="876" w:type="dxa"/>
            <w:tcBorders>
              <w:top w:val="single" w:color="auto" w:sz="2" w:space="0"/>
              <w:left w:val="single" w:color="auto" w:sz="2" w:space="0"/>
              <w:bottom w:val="single" w:color="auto" w:sz="2" w:space="0"/>
              <w:right w:val="single" w:color="auto" w:sz="2" w:space="0"/>
            </w:tcBorders>
            <w:vAlign w:val="center"/>
          </w:tcPr>
          <w:p w14:paraId="2C8FC0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30,871.29</w:t>
            </w:r>
          </w:p>
        </w:tc>
        <w:tc>
          <w:tcPr>
            <w:tcW w:w="876" w:type="dxa"/>
            <w:tcBorders>
              <w:top w:val="single" w:color="auto" w:sz="2" w:space="0"/>
              <w:left w:val="single" w:color="auto" w:sz="2" w:space="0"/>
              <w:bottom w:val="single" w:color="auto" w:sz="2" w:space="0"/>
              <w:right w:val="single" w:color="auto" w:sz="2" w:space="0"/>
            </w:tcBorders>
            <w:vAlign w:val="center"/>
          </w:tcPr>
          <w:p w14:paraId="60FA338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0.71%</w:t>
            </w:r>
          </w:p>
        </w:tc>
        <w:tc>
          <w:tcPr>
            <w:tcW w:w="876" w:type="dxa"/>
            <w:tcBorders>
              <w:top w:val="single" w:color="auto" w:sz="2" w:space="0"/>
              <w:left w:val="single" w:color="auto" w:sz="2" w:space="0"/>
              <w:bottom w:val="single" w:color="auto" w:sz="2" w:space="0"/>
              <w:right w:val="single" w:color="auto" w:sz="2" w:space="0"/>
            </w:tcBorders>
            <w:vAlign w:val="center"/>
          </w:tcPr>
          <w:p w14:paraId="54D630C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4,287,785.99</w:t>
            </w:r>
          </w:p>
        </w:tc>
      </w:tr>
      <w:tr w14:paraId="3B354B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7AC280E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r>
      <w:tr w14:paraId="0A6E30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1A5B760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信用组合</w:t>
            </w:r>
          </w:p>
        </w:tc>
        <w:tc>
          <w:tcPr>
            <w:tcW w:w="876" w:type="dxa"/>
            <w:tcBorders>
              <w:top w:val="single" w:color="auto" w:sz="2" w:space="0"/>
              <w:left w:val="single" w:color="auto" w:sz="2" w:space="0"/>
              <w:bottom w:val="single" w:color="auto" w:sz="2" w:space="0"/>
              <w:right w:val="single" w:color="auto" w:sz="2" w:space="0"/>
            </w:tcBorders>
            <w:vAlign w:val="center"/>
          </w:tcPr>
          <w:p w14:paraId="63D392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590,878.69</w:t>
            </w:r>
          </w:p>
        </w:tc>
        <w:tc>
          <w:tcPr>
            <w:tcW w:w="876" w:type="dxa"/>
            <w:tcBorders>
              <w:top w:val="single" w:color="auto" w:sz="2" w:space="0"/>
              <w:left w:val="single" w:color="auto" w:sz="2" w:space="0"/>
              <w:bottom w:val="single" w:color="auto" w:sz="2" w:space="0"/>
              <w:right w:val="single" w:color="auto" w:sz="2" w:space="0"/>
            </w:tcBorders>
            <w:vAlign w:val="center"/>
          </w:tcPr>
          <w:p w14:paraId="52FC5E1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30.70%</w:t>
            </w:r>
          </w:p>
        </w:tc>
        <w:tc>
          <w:tcPr>
            <w:tcW w:w="876" w:type="dxa"/>
            <w:tcBorders>
              <w:top w:val="single" w:color="auto" w:sz="2" w:space="0"/>
              <w:left w:val="single" w:color="auto" w:sz="2" w:space="0"/>
              <w:bottom w:val="single" w:color="auto" w:sz="2" w:space="0"/>
              <w:right w:val="single" w:color="auto" w:sz="2" w:space="0"/>
            </w:tcBorders>
            <w:vAlign w:val="center"/>
          </w:tcPr>
          <w:p w14:paraId="50CC1CD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32,279.93</w:t>
            </w:r>
          </w:p>
        </w:tc>
        <w:tc>
          <w:tcPr>
            <w:tcW w:w="876" w:type="dxa"/>
            <w:tcBorders>
              <w:top w:val="single" w:color="auto" w:sz="2" w:space="0"/>
              <w:left w:val="single" w:color="auto" w:sz="2" w:space="0"/>
              <w:bottom w:val="single" w:color="auto" w:sz="2" w:space="0"/>
              <w:right w:val="single" w:color="auto" w:sz="2" w:space="0"/>
            </w:tcBorders>
            <w:vAlign w:val="center"/>
          </w:tcPr>
          <w:p w14:paraId="00E02B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5.46%</w:t>
            </w:r>
          </w:p>
        </w:tc>
        <w:tc>
          <w:tcPr>
            <w:tcW w:w="876" w:type="dxa"/>
            <w:tcBorders>
              <w:top w:val="single" w:color="auto" w:sz="2" w:space="0"/>
              <w:left w:val="single" w:color="auto" w:sz="2" w:space="0"/>
              <w:bottom w:val="single" w:color="auto" w:sz="2" w:space="0"/>
              <w:right w:val="single" w:color="auto" w:sz="2" w:space="0"/>
            </w:tcBorders>
            <w:vAlign w:val="center"/>
          </w:tcPr>
          <w:p w14:paraId="40221A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558,598.76</w:t>
            </w:r>
          </w:p>
        </w:tc>
        <w:tc>
          <w:tcPr>
            <w:tcW w:w="876" w:type="dxa"/>
            <w:tcBorders>
              <w:top w:val="single" w:color="auto" w:sz="2" w:space="0"/>
              <w:left w:val="single" w:color="auto" w:sz="2" w:space="0"/>
              <w:bottom w:val="single" w:color="auto" w:sz="2" w:space="0"/>
              <w:right w:val="single" w:color="auto" w:sz="2" w:space="0"/>
            </w:tcBorders>
            <w:vAlign w:val="center"/>
          </w:tcPr>
          <w:p w14:paraId="1385D74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562,705.97</w:t>
            </w:r>
          </w:p>
        </w:tc>
        <w:tc>
          <w:tcPr>
            <w:tcW w:w="876" w:type="dxa"/>
            <w:tcBorders>
              <w:top w:val="single" w:color="auto" w:sz="2" w:space="0"/>
              <w:left w:val="single" w:color="auto" w:sz="2" w:space="0"/>
              <w:bottom w:val="single" w:color="auto" w:sz="2" w:space="0"/>
              <w:right w:val="single" w:color="auto" w:sz="2" w:space="0"/>
            </w:tcBorders>
            <w:vAlign w:val="center"/>
          </w:tcPr>
          <w:p w14:paraId="7C0B8E9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11.68%</w:t>
            </w:r>
          </w:p>
        </w:tc>
        <w:tc>
          <w:tcPr>
            <w:tcW w:w="876" w:type="dxa"/>
            <w:tcBorders>
              <w:top w:val="single" w:color="auto" w:sz="2" w:space="0"/>
              <w:left w:val="single" w:color="auto" w:sz="2" w:space="0"/>
              <w:bottom w:val="single" w:color="auto" w:sz="2" w:space="0"/>
              <w:right w:val="single" w:color="auto" w:sz="2" w:space="0"/>
            </w:tcBorders>
            <w:vAlign w:val="center"/>
          </w:tcPr>
          <w:p w14:paraId="0C782DF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30,871.29</w:t>
            </w:r>
          </w:p>
        </w:tc>
        <w:tc>
          <w:tcPr>
            <w:tcW w:w="876" w:type="dxa"/>
            <w:tcBorders>
              <w:top w:val="single" w:color="auto" w:sz="2" w:space="0"/>
              <w:left w:val="single" w:color="auto" w:sz="2" w:space="0"/>
              <w:bottom w:val="single" w:color="auto" w:sz="2" w:space="0"/>
              <w:right w:val="single" w:color="auto" w:sz="2" w:space="0"/>
            </w:tcBorders>
            <w:vAlign w:val="center"/>
          </w:tcPr>
          <w:p w14:paraId="194B9B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5.49%</w:t>
            </w:r>
          </w:p>
        </w:tc>
        <w:tc>
          <w:tcPr>
            <w:tcW w:w="876" w:type="dxa"/>
            <w:tcBorders>
              <w:top w:val="single" w:color="auto" w:sz="2" w:space="0"/>
              <w:left w:val="single" w:color="auto" w:sz="2" w:space="0"/>
              <w:bottom w:val="single" w:color="auto" w:sz="2" w:space="0"/>
              <w:right w:val="single" w:color="auto" w:sz="2" w:space="0"/>
            </w:tcBorders>
            <w:vAlign w:val="center"/>
          </w:tcPr>
          <w:p w14:paraId="19DFF4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531,834.68</w:t>
            </w:r>
          </w:p>
        </w:tc>
      </w:tr>
      <w:tr w14:paraId="7A180C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19CF9C4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押金、保证金、员工备用金</w:t>
            </w:r>
          </w:p>
        </w:tc>
        <w:tc>
          <w:tcPr>
            <w:tcW w:w="876" w:type="dxa"/>
            <w:tcBorders>
              <w:top w:val="single" w:color="auto" w:sz="2" w:space="0"/>
              <w:left w:val="single" w:color="auto" w:sz="2" w:space="0"/>
              <w:bottom w:val="single" w:color="auto" w:sz="2" w:space="0"/>
              <w:right w:val="single" w:color="auto" w:sz="2" w:space="0"/>
            </w:tcBorders>
            <w:vAlign w:val="center"/>
          </w:tcPr>
          <w:p w14:paraId="6D8210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833,600.00</w:t>
            </w:r>
          </w:p>
        </w:tc>
        <w:tc>
          <w:tcPr>
            <w:tcW w:w="876" w:type="dxa"/>
            <w:tcBorders>
              <w:top w:val="single" w:color="auto" w:sz="2" w:space="0"/>
              <w:left w:val="single" w:color="auto" w:sz="2" w:space="0"/>
              <w:bottom w:val="single" w:color="auto" w:sz="2" w:space="0"/>
              <w:right w:val="single" w:color="auto" w:sz="2" w:space="0"/>
            </w:tcBorders>
            <w:vAlign w:val="center"/>
          </w:tcPr>
          <w:p w14:paraId="637B88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43.32%</w:t>
            </w:r>
          </w:p>
        </w:tc>
        <w:tc>
          <w:tcPr>
            <w:tcW w:w="876" w:type="dxa"/>
            <w:tcBorders>
              <w:top w:val="single" w:color="auto" w:sz="2" w:space="0"/>
              <w:left w:val="single" w:color="auto" w:sz="2" w:space="0"/>
              <w:bottom w:val="single" w:color="auto" w:sz="2" w:space="0"/>
              <w:right w:val="single" w:color="auto" w:sz="2" w:space="0"/>
            </w:tcBorders>
            <w:vAlign w:val="center"/>
          </w:tcPr>
          <w:p w14:paraId="5D9C37C6">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6F2F22A8">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6896C5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833,600.00</w:t>
            </w:r>
          </w:p>
        </w:tc>
        <w:tc>
          <w:tcPr>
            <w:tcW w:w="876" w:type="dxa"/>
            <w:tcBorders>
              <w:top w:val="single" w:color="auto" w:sz="2" w:space="0"/>
              <w:left w:val="single" w:color="auto" w:sz="2" w:space="0"/>
              <w:bottom w:val="single" w:color="auto" w:sz="2" w:space="0"/>
              <w:right w:val="single" w:color="auto" w:sz="2" w:space="0"/>
            </w:tcBorders>
            <w:vAlign w:val="center"/>
          </w:tcPr>
          <w:p w14:paraId="060C3D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3,755,951.31</w:t>
            </w:r>
          </w:p>
        </w:tc>
        <w:tc>
          <w:tcPr>
            <w:tcW w:w="876" w:type="dxa"/>
            <w:tcBorders>
              <w:top w:val="single" w:color="auto" w:sz="2" w:space="0"/>
              <w:left w:val="single" w:color="auto" w:sz="2" w:space="0"/>
              <w:bottom w:val="single" w:color="auto" w:sz="2" w:space="0"/>
              <w:right w:val="single" w:color="auto" w:sz="2" w:space="0"/>
            </w:tcBorders>
            <w:vAlign w:val="center"/>
          </w:tcPr>
          <w:p w14:paraId="5AF984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77.95%</w:t>
            </w:r>
          </w:p>
        </w:tc>
        <w:tc>
          <w:tcPr>
            <w:tcW w:w="876" w:type="dxa"/>
            <w:tcBorders>
              <w:top w:val="single" w:color="auto" w:sz="2" w:space="0"/>
              <w:left w:val="single" w:color="auto" w:sz="2" w:space="0"/>
              <w:bottom w:val="single" w:color="auto" w:sz="2" w:space="0"/>
              <w:right w:val="single" w:color="auto" w:sz="2" w:space="0"/>
            </w:tcBorders>
            <w:vAlign w:val="center"/>
          </w:tcPr>
          <w:p w14:paraId="67C9728B">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13540D17">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371FF84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3,755,951.31</w:t>
            </w:r>
          </w:p>
        </w:tc>
      </w:tr>
      <w:tr w14:paraId="162A90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54EC00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45F4809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1,924,478.69</w:t>
            </w:r>
          </w:p>
        </w:tc>
        <w:tc>
          <w:tcPr>
            <w:tcW w:w="876" w:type="dxa"/>
            <w:tcBorders>
              <w:top w:val="single" w:color="auto" w:sz="2" w:space="0"/>
              <w:left w:val="single" w:color="auto" w:sz="2" w:space="0"/>
              <w:bottom w:val="single" w:color="auto" w:sz="2" w:space="0"/>
              <w:right w:val="single" w:color="auto" w:sz="2" w:space="0"/>
            </w:tcBorders>
            <w:vAlign w:val="center"/>
          </w:tcPr>
          <w:p w14:paraId="0CB13AC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672E20B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532,279.93</w:t>
            </w:r>
          </w:p>
        </w:tc>
        <w:tc>
          <w:tcPr>
            <w:tcW w:w="876" w:type="dxa"/>
            <w:tcBorders>
              <w:top w:val="single" w:color="auto" w:sz="2" w:space="0"/>
              <w:left w:val="single" w:color="auto" w:sz="2" w:space="0"/>
              <w:bottom w:val="single" w:color="auto" w:sz="2" w:space="0"/>
              <w:right w:val="single" w:color="auto" w:sz="2" w:space="0"/>
            </w:tcBorders>
            <w:vAlign w:val="center"/>
          </w:tcPr>
          <w:p w14:paraId="75417F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27.66%</w:t>
            </w:r>
          </w:p>
        </w:tc>
        <w:tc>
          <w:tcPr>
            <w:tcW w:w="876" w:type="dxa"/>
            <w:tcBorders>
              <w:top w:val="single" w:color="auto" w:sz="2" w:space="0"/>
              <w:left w:val="single" w:color="auto" w:sz="2" w:space="0"/>
              <w:bottom w:val="single" w:color="auto" w:sz="2" w:space="0"/>
              <w:right w:val="single" w:color="auto" w:sz="2" w:space="0"/>
            </w:tcBorders>
            <w:vAlign w:val="center"/>
          </w:tcPr>
          <w:p w14:paraId="74050E0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1,392,198.76</w:t>
            </w:r>
          </w:p>
        </w:tc>
        <w:tc>
          <w:tcPr>
            <w:tcW w:w="876" w:type="dxa"/>
            <w:tcBorders>
              <w:top w:val="single" w:color="auto" w:sz="2" w:space="0"/>
              <w:left w:val="single" w:color="auto" w:sz="2" w:space="0"/>
              <w:bottom w:val="single" w:color="auto" w:sz="2" w:space="0"/>
              <w:right w:val="single" w:color="auto" w:sz="2" w:space="0"/>
            </w:tcBorders>
            <w:vAlign w:val="center"/>
          </w:tcPr>
          <w:p w14:paraId="08AC88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4,818,657.28</w:t>
            </w:r>
          </w:p>
        </w:tc>
        <w:tc>
          <w:tcPr>
            <w:tcW w:w="876" w:type="dxa"/>
            <w:tcBorders>
              <w:top w:val="single" w:color="auto" w:sz="2" w:space="0"/>
              <w:left w:val="single" w:color="auto" w:sz="2" w:space="0"/>
              <w:bottom w:val="single" w:color="auto" w:sz="2" w:space="0"/>
              <w:right w:val="single" w:color="auto" w:sz="2" w:space="0"/>
            </w:tcBorders>
            <w:vAlign w:val="center"/>
          </w:tcPr>
          <w:p w14:paraId="717C07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26080D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530,871.29</w:t>
            </w:r>
          </w:p>
        </w:tc>
        <w:tc>
          <w:tcPr>
            <w:tcW w:w="876" w:type="dxa"/>
            <w:tcBorders>
              <w:top w:val="single" w:color="auto" w:sz="2" w:space="0"/>
              <w:left w:val="single" w:color="auto" w:sz="2" w:space="0"/>
              <w:bottom w:val="single" w:color="auto" w:sz="2" w:space="0"/>
              <w:right w:val="single" w:color="auto" w:sz="2" w:space="0"/>
            </w:tcBorders>
            <w:vAlign w:val="center"/>
          </w:tcPr>
          <w:p w14:paraId="0A99F0E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11.02%</w:t>
            </w:r>
          </w:p>
        </w:tc>
        <w:tc>
          <w:tcPr>
            <w:tcW w:w="876" w:type="dxa"/>
            <w:tcBorders>
              <w:top w:val="single" w:color="auto" w:sz="2" w:space="0"/>
              <w:left w:val="single" w:color="auto" w:sz="2" w:space="0"/>
              <w:bottom w:val="single" w:color="auto" w:sz="2" w:space="0"/>
              <w:right w:val="single" w:color="auto" w:sz="2" w:space="0"/>
            </w:tcBorders>
            <w:vAlign w:val="center"/>
          </w:tcPr>
          <w:p w14:paraId="42571F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4,287,785.99</w:t>
            </w:r>
          </w:p>
        </w:tc>
      </w:tr>
    </w:tbl>
    <w:p w14:paraId="44D29B4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按单项计提坏账准备类别名称：</w:t>
      </w:r>
    </w:p>
    <w:p w14:paraId="35DD8D8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32998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5F6A5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829AA6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7D1B98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367F4E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5A4CA6F">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DE8A2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9C3F98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0B5C79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18264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05EAEF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273774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计提理由</w:t>
            </w:r>
          </w:p>
        </w:tc>
      </w:tr>
      <w:tr w14:paraId="16D4EA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47482A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上海观合医药科技股份有限公司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7989478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0CAA898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54510A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2AC18E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77B21C5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36F2BFD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 预计无法收回</w:t>
            </w:r>
          </w:p>
        </w:tc>
      </w:tr>
      <w:tr w14:paraId="6AC07E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57AF8A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35FB784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76E231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28559C2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65D640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0B11DCD">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0FE8A0E">
            <w:pPr>
              <w:rPr>
                <w:color w:val="auto"/>
              </w:rPr>
            </w:pPr>
          </w:p>
        </w:tc>
      </w:tr>
    </w:tbl>
    <w:p w14:paraId="6B34B18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按组合计提坏账准备类别名称：（1）信用组合</w:t>
      </w:r>
    </w:p>
    <w:p w14:paraId="03D4F31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3474CE0D">
        <w:tblPrEx>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D2016C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B948C1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3A2F6A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F3A915">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05BAA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5B2955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1E6098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4552E6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70FAC0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699C12B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587,998.69</w:t>
            </w:r>
          </w:p>
        </w:tc>
        <w:tc>
          <w:tcPr>
            <w:tcW w:w="2410" w:type="dxa"/>
            <w:tcBorders>
              <w:top w:val="single" w:color="auto" w:sz="2" w:space="0"/>
              <w:left w:val="single" w:color="auto" w:sz="2" w:space="0"/>
              <w:bottom w:val="single" w:color="auto" w:sz="2" w:space="0"/>
              <w:right w:val="single" w:color="auto" w:sz="2" w:space="0"/>
            </w:tcBorders>
            <w:vAlign w:val="center"/>
          </w:tcPr>
          <w:p w14:paraId="03EF60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29,399.93</w:t>
            </w:r>
          </w:p>
        </w:tc>
        <w:tc>
          <w:tcPr>
            <w:tcW w:w="2410" w:type="dxa"/>
            <w:tcBorders>
              <w:top w:val="single" w:color="auto" w:sz="2" w:space="0"/>
              <w:left w:val="single" w:color="auto" w:sz="2" w:space="0"/>
              <w:bottom w:val="single" w:color="auto" w:sz="2" w:space="0"/>
              <w:right w:val="single" w:color="auto" w:sz="2" w:space="0"/>
            </w:tcBorders>
            <w:vAlign w:val="center"/>
          </w:tcPr>
          <w:p w14:paraId="49984A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r>
      <w:tr w14:paraId="0E4696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E531DC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1至2年</w:t>
            </w:r>
          </w:p>
        </w:tc>
        <w:tc>
          <w:tcPr>
            <w:tcW w:w="2410" w:type="dxa"/>
            <w:tcBorders>
              <w:top w:val="single" w:color="auto" w:sz="2" w:space="0"/>
              <w:left w:val="single" w:color="auto" w:sz="2" w:space="0"/>
              <w:bottom w:val="single" w:color="auto" w:sz="2" w:space="0"/>
              <w:right w:val="single" w:color="auto" w:sz="2" w:space="0"/>
            </w:tcBorders>
            <w:vAlign w:val="center"/>
          </w:tcPr>
          <w:p w14:paraId="5E86FCB4">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02A812A">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609192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w:t>
            </w:r>
          </w:p>
        </w:tc>
      </w:tr>
      <w:tr w14:paraId="3F60B0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CD2E86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2至3年</w:t>
            </w:r>
          </w:p>
        </w:tc>
        <w:tc>
          <w:tcPr>
            <w:tcW w:w="2410" w:type="dxa"/>
            <w:tcBorders>
              <w:top w:val="single" w:color="auto" w:sz="2" w:space="0"/>
              <w:left w:val="single" w:color="auto" w:sz="2" w:space="0"/>
              <w:bottom w:val="single" w:color="auto" w:sz="2" w:space="0"/>
              <w:right w:val="single" w:color="auto" w:sz="2" w:space="0"/>
            </w:tcBorders>
            <w:vAlign w:val="center"/>
          </w:tcPr>
          <w:p w14:paraId="772299EC">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629D638">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AB4C14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w:t>
            </w:r>
          </w:p>
        </w:tc>
      </w:tr>
      <w:tr w14:paraId="4D7F82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9BF592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3至4年</w:t>
            </w:r>
          </w:p>
        </w:tc>
        <w:tc>
          <w:tcPr>
            <w:tcW w:w="2410" w:type="dxa"/>
            <w:tcBorders>
              <w:top w:val="single" w:color="auto" w:sz="2" w:space="0"/>
              <w:left w:val="single" w:color="auto" w:sz="2" w:space="0"/>
              <w:bottom w:val="single" w:color="auto" w:sz="2" w:space="0"/>
              <w:right w:val="single" w:color="auto" w:sz="2" w:space="0"/>
            </w:tcBorders>
            <w:vAlign w:val="center"/>
          </w:tcPr>
          <w:p w14:paraId="7B74D698">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062DCE6">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241FB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w:t>
            </w:r>
          </w:p>
        </w:tc>
      </w:tr>
      <w:tr w14:paraId="27B11D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2B5DFD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4至5年</w:t>
            </w:r>
          </w:p>
        </w:tc>
        <w:tc>
          <w:tcPr>
            <w:tcW w:w="2410" w:type="dxa"/>
            <w:tcBorders>
              <w:top w:val="single" w:color="auto" w:sz="2" w:space="0"/>
              <w:left w:val="single" w:color="auto" w:sz="2" w:space="0"/>
              <w:bottom w:val="single" w:color="auto" w:sz="2" w:space="0"/>
              <w:right w:val="single" w:color="auto" w:sz="2" w:space="0"/>
            </w:tcBorders>
            <w:vAlign w:val="center"/>
          </w:tcPr>
          <w:p w14:paraId="029A93C0">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0D3CA8C">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DB05B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80.00%</w:t>
            </w:r>
          </w:p>
        </w:tc>
      </w:tr>
      <w:tr w14:paraId="2BB0BD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9168A0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14F5C5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2,880.00</w:t>
            </w:r>
          </w:p>
        </w:tc>
        <w:tc>
          <w:tcPr>
            <w:tcW w:w="2410" w:type="dxa"/>
            <w:tcBorders>
              <w:top w:val="single" w:color="auto" w:sz="2" w:space="0"/>
              <w:left w:val="single" w:color="auto" w:sz="2" w:space="0"/>
              <w:bottom w:val="single" w:color="auto" w:sz="2" w:space="0"/>
              <w:right w:val="single" w:color="auto" w:sz="2" w:space="0"/>
            </w:tcBorders>
            <w:vAlign w:val="center"/>
          </w:tcPr>
          <w:p w14:paraId="48E1BF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2,880.00</w:t>
            </w:r>
          </w:p>
        </w:tc>
        <w:tc>
          <w:tcPr>
            <w:tcW w:w="2410" w:type="dxa"/>
            <w:tcBorders>
              <w:top w:val="single" w:color="auto" w:sz="2" w:space="0"/>
              <w:left w:val="single" w:color="auto" w:sz="2" w:space="0"/>
              <w:bottom w:val="single" w:color="auto" w:sz="2" w:space="0"/>
              <w:right w:val="single" w:color="auto" w:sz="2" w:space="0"/>
            </w:tcBorders>
            <w:vAlign w:val="center"/>
          </w:tcPr>
          <w:p w14:paraId="4BBEE3D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r>
      <w:tr w14:paraId="6B530C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F7A5A7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3DD7E0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590,878.69</w:t>
            </w:r>
          </w:p>
        </w:tc>
        <w:tc>
          <w:tcPr>
            <w:tcW w:w="2410" w:type="dxa"/>
            <w:tcBorders>
              <w:top w:val="single" w:color="auto" w:sz="2" w:space="0"/>
              <w:left w:val="single" w:color="auto" w:sz="2" w:space="0"/>
              <w:bottom w:val="single" w:color="auto" w:sz="2" w:space="0"/>
              <w:right w:val="single" w:color="auto" w:sz="2" w:space="0"/>
            </w:tcBorders>
            <w:vAlign w:val="center"/>
          </w:tcPr>
          <w:p w14:paraId="582AA53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32,279.93</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B929D26">
            <w:pPr>
              <w:rPr>
                <w:color w:val="auto"/>
              </w:rPr>
            </w:pPr>
          </w:p>
        </w:tc>
      </w:tr>
    </w:tbl>
    <w:p w14:paraId="6108946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158AF1A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按组合计提坏账准备类别名称：（2）押金、保证金、员工备金组合</w:t>
      </w:r>
    </w:p>
    <w:p w14:paraId="0006FF11">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19C495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2EA5CA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FF5C71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4785FD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858AAFF">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2DAF9F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4EA279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B77BE7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7792FA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665CDE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1年以内（含1年）</w:t>
            </w:r>
          </w:p>
        </w:tc>
        <w:tc>
          <w:tcPr>
            <w:tcW w:w="2410" w:type="dxa"/>
            <w:tcBorders>
              <w:top w:val="single" w:color="auto" w:sz="2" w:space="0"/>
              <w:left w:val="single" w:color="auto" w:sz="2" w:space="0"/>
              <w:bottom w:val="single" w:color="auto" w:sz="2" w:space="0"/>
              <w:right w:val="single" w:color="auto" w:sz="2" w:space="0"/>
            </w:tcBorders>
            <w:vAlign w:val="center"/>
          </w:tcPr>
          <w:p w14:paraId="18C2FA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124,550.00</w:t>
            </w:r>
          </w:p>
        </w:tc>
        <w:tc>
          <w:tcPr>
            <w:tcW w:w="2410" w:type="dxa"/>
            <w:tcBorders>
              <w:top w:val="single" w:color="auto" w:sz="2" w:space="0"/>
              <w:left w:val="single" w:color="auto" w:sz="2" w:space="0"/>
              <w:bottom w:val="single" w:color="auto" w:sz="2" w:space="0"/>
              <w:right w:val="single" w:color="auto" w:sz="2" w:space="0"/>
            </w:tcBorders>
            <w:vAlign w:val="center"/>
          </w:tcPr>
          <w:p w14:paraId="7F700AEB">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1C69A9C">
            <w:pPr>
              <w:spacing w:before="0" w:after="0" w:line="240" w:lineRule="exact"/>
              <w:jc w:val="right"/>
              <w:rPr>
                <w:rFonts w:ascii="宋体" w:hAnsi="宋体" w:eastAsia="宋体" w:cs="宋体"/>
                <w:color w:val="auto"/>
                <w:sz w:val="18"/>
                <w:szCs w:val="18"/>
              </w:rPr>
            </w:pPr>
          </w:p>
        </w:tc>
      </w:tr>
      <w:tr w14:paraId="02959F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409708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1至2年</w:t>
            </w:r>
          </w:p>
        </w:tc>
        <w:tc>
          <w:tcPr>
            <w:tcW w:w="2410" w:type="dxa"/>
            <w:tcBorders>
              <w:top w:val="single" w:color="auto" w:sz="2" w:space="0"/>
              <w:left w:val="single" w:color="auto" w:sz="2" w:space="0"/>
              <w:bottom w:val="single" w:color="auto" w:sz="2" w:space="0"/>
              <w:right w:val="single" w:color="auto" w:sz="2" w:space="0"/>
            </w:tcBorders>
            <w:vAlign w:val="center"/>
          </w:tcPr>
          <w:p w14:paraId="10C193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20,200.00</w:t>
            </w:r>
          </w:p>
        </w:tc>
        <w:tc>
          <w:tcPr>
            <w:tcW w:w="2410" w:type="dxa"/>
            <w:tcBorders>
              <w:top w:val="single" w:color="auto" w:sz="2" w:space="0"/>
              <w:left w:val="single" w:color="auto" w:sz="2" w:space="0"/>
              <w:bottom w:val="single" w:color="auto" w:sz="2" w:space="0"/>
              <w:right w:val="single" w:color="auto" w:sz="2" w:space="0"/>
            </w:tcBorders>
            <w:vAlign w:val="center"/>
          </w:tcPr>
          <w:p w14:paraId="4FB50896">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57303DA">
            <w:pPr>
              <w:spacing w:before="0" w:after="0" w:line="240" w:lineRule="exact"/>
              <w:jc w:val="right"/>
              <w:rPr>
                <w:rFonts w:ascii="宋体" w:hAnsi="宋体" w:eastAsia="宋体" w:cs="宋体"/>
                <w:color w:val="auto"/>
                <w:sz w:val="18"/>
                <w:szCs w:val="18"/>
              </w:rPr>
            </w:pPr>
          </w:p>
        </w:tc>
      </w:tr>
      <w:tr w14:paraId="114F76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7D86A2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2至3年</w:t>
            </w:r>
          </w:p>
        </w:tc>
        <w:tc>
          <w:tcPr>
            <w:tcW w:w="2410" w:type="dxa"/>
            <w:tcBorders>
              <w:top w:val="single" w:color="auto" w:sz="2" w:space="0"/>
              <w:left w:val="single" w:color="auto" w:sz="2" w:space="0"/>
              <w:bottom w:val="single" w:color="auto" w:sz="2" w:space="0"/>
              <w:right w:val="single" w:color="auto" w:sz="2" w:space="0"/>
            </w:tcBorders>
            <w:vAlign w:val="center"/>
          </w:tcPr>
          <w:p w14:paraId="4C14FC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340,000.00</w:t>
            </w:r>
          </w:p>
        </w:tc>
        <w:tc>
          <w:tcPr>
            <w:tcW w:w="2410" w:type="dxa"/>
            <w:tcBorders>
              <w:top w:val="single" w:color="auto" w:sz="2" w:space="0"/>
              <w:left w:val="single" w:color="auto" w:sz="2" w:space="0"/>
              <w:bottom w:val="single" w:color="auto" w:sz="2" w:space="0"/>
              <w:right w:val="single" w:color="auto" w:sz="2" w:space="0"/>
            </w:tcBorders>
            <w:vAlign w:val="center"/>
          </w:tcPr>
          <w:p w14:paraId="6A409E67">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48E5B3F">
            <w:pPr>
              <w:spacing w:before="0" w:after="0" w:line="240" w:lineRule="exact"/>
              <w:jc w:val="right"/>
              <w:rPr>
                <w:rFonts w:ascii="宋体" w:hAnsi="宋体" w:eastAsia="宋体" w:cs="宋体"/>
                <w:color w:val="auto"/>
                <w:sz w:val="18"/>
                <w:szCs w:val="18"/>
              </w:rPr>
            </w:pPr>
          </w:p>
        </w:tc>
      </w:tr>
      <w:tr w14:paraId="58DBFC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D34231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3至4年</w:t>
            </w:r>
          </w:p>
        </w:tc>
        <w:tc>
          <w:tcPr>
            <w:tcW w:w="2410" w:type="dxa"/>
            <w:tcBorders>
              <w:top w:val="single" w:color="auto" w:sz="2" w:space="0"/>
              <w:left w:val="single" w:color="auto" w:sz="2" w:space="0"/>
              <w:bottom w:val="single" w:color="auto" w:sz="2" w:space="0"/>
              <w:right w:val="single" w:color="auto" w:sz="2" w:space="0"/>
            </w:tcBorders>
            <w:vAlign w:val="center"/>
          </w:tcPr>
          <w:p w14:paraId="03EE15A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w:t>
            </w:r>
          </w:p>
        </w:tc>
        <w:tc>
          <w:tcPr>
            <w:tcW w:w="2410" w:type="dxa"/>
            <w:tcBorders>
              <w:top w:val="single" w:color="auto" w:sz="2" w:space="0"/>
              <w:left w:val="single" w:color="auto" w:sz="2" w:space="0"/>
              <w:bottom w:val="single" w:color="auto" w:sz="2" w:space="0"/>
              <w:right w:val="single" w:color="auto" w:sz="2" w:space="0"/>
            </w:tcBorders>
            <w:vAlign w:val="center"/>
          </w:tcPr>
          <w:p w14:paraId="7ABC15D5">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47A757F">
            <w:pPr>
              <w:spacing w:before="0" w:after="0" w:line="240" w:lineRule="exact"/>
              <w:jc w:val="right"/>
              <w:rPr>
                <w:rFonts w:ascii="宋体" w:hAnsi="宋体" w:eastAsia="宋体" w:cs="宋体"/>
                <w:color w:val="auto"/>
                <w:sz w:val="18"/>
                <w:szCs w:val="18"/>
              </w:rPr>
            </w:pPr>
          </w:p>
        </w:tc>
      </w:tr>
      <w:tr w14:paraId="1D203C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C09D75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4至5年</w:t>
            </w:r>
          </w:p>
        </w:tc>
        <w:tc>
          <w:tcPr>
            <w:tcW w:w="2410" w:type="dxa"/>
            <w:tcBorders>
              <w:top w:val="single" w:color="auto" w:sz="2" w:space="0"/>
              <w:left w:val="single" w:color="auto" w:sz="2" w:space="0"/>
              <w:bottom w:val="single" w:color="auto" w:sz="2" w:space="0"/>
              <w:right w:val="single" w:color="auto" w:sz="2" w:space="0"/>
            </w:tcBorders>
            <w:vAlign w:val="center"/>
          </w:tcPr>
          <w:p w14:paraId="4FD54797">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F6A01DE">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51F4F46">
            <w:pPr>
              <w:spacing w:before="0" w:after="0" w:line="240" w:lineRule="exact"/>
              <w:jc w:val="right"/>
              <w:rPr>
                <w:rFonts w:ascii="宋体" w:hAnsi="宋体" w:eastAsia="宋体" w:cs="宋体"/>
                <w:color w:val="auto"/>
                <w:sz w:val="18"/>
                <w:szCs w:val="18"/>
              </w:rPr>
            </w:pPr>
          </w:p>
        </w:tc>
      </w:tr>
      <w:tr w14:paraId="135D7C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EE2B94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7D54906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298,850.00</w:t>
            </w:r>
          </w:p>
        </w:tc>
        <w:tc>
          <w:tcPr>
            <w:tcW w:w="2410" w:type="dxa"/>
            <w:tcBorders>
              <w:top w:val="single" w:color="auto" w:sz="2" w:space="0"/>
              <w:left w:val="single" w:color="auto" w:sz="2" w:space="0"/>
              <w:bottom w:val="single" w:color="auto" w:sz="2" w:space="0"/>
              <w:right w:val="single" w:color="auto" w:sz="2" w:space="0"/>
            </w:tcBorders>
            <w:vAlign w:val="center"/>
          </w:tcPr>
          <w:p w14:paraId="21824F92">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6C0E09A">
            <w:pPr>
              <w:spacing w:before="0" w:after="0" w:line="240" w:lineRule="exact"/>
              <w:jc w:val="right"/>
              <w:rPr>
                <w:rFonts w:ascii="宋体" w:hAnsi="宋体" w:eastAsia="宋体" w:cs="宋体"/>
                <w:color w:val="auto"/>
                <w:sz w:val="18"/>
                <w:szCs w:val="18"/>
              </w:rPr>
            </w:pPr>
          </w:p>
        </w:tc>
      </w:tr>
      <w:tr w14:paraId="07DDBF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6954FD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433DA8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833,600.00</w:t>
            </w:r>
          </w:p>
        </w:tc>
        <w:tc>
          <w:tcPr>
            <w:tcW w:w="2410" w:type="dxa"/>
            <w:tcBorders>
              <w:top w:val="single" w:color="auto" w:sz="2" w:space="0"/>
              <w:left w:val="single" w:color="auto" w:sz="2" w:space="0"/>
              <w:bottom w:val="single" w:color="auto" w:sz="2" w:space="0"/>
              <w:right w:val="single" w:color="auto" w:sz="2" w:space="0"/>
            </w:tcBorders>
            <w:vAlign w:val="center"/>
          </w:tcPr>
          <w:p w14:paraId="39684898">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D52E8D9">
            <w:pPr>
              <w:rPr>
                <w:color w:val="auto"/>
              </w:rPr>
            </w:pPr>
          </w:p>
        </w:tc>
      </w:tr>
    </w:tbl>
    <w:p w14:paraId="0863314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0080A96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按预期信用损失一般模型计提坏账准备：</w:t>
      </w:r>
    </w:p>
    <w:p w14:paraId="3028E11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584882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7A218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E7726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16E1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07D98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FD170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7B6258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C1A9BB6">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63B55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7B15A9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1DCD7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09C0A49">
            <w:pPr>
              <w:rPr>
                <w:color w:val="auto"/>
              </w:rPr>
            </w:pPr>
          </w:p>
        </w:tc>
      </w:tr>
      <w:tr w14:paraId="2C4ACD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F5288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2025年1月1日余额</w:t>
            </w:r>
          </w:p>
        </w:tc>
        <w:tc>
          <w:tcPr>
            <w:tcW w:w="1928" w:type="dxa"/>
            <w:tcBorders>
              <w:top w:val="single" w:color="auto" w:sz="2" w:space="0"/>
              <w:left w:val="single" w:color="auto" w:sz="2" w:space="0"/>
              <w:bottom w:val="single" w:color="auto" w:sz="2" w:space="0"/>
              <w:right w:val="single" w:color="auto" w:sz="2" w:space="0"/>
            </w:tcBorders>
            <w:vAlign w:val="center"/>
          </w:tcPr>
          <w:p w14:paraId="3BA7D8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27,991.29</w:t>
            </w:r>
          </w:p>
        </w:tc>
        <w:tc>
          <w:tcPr>
            <w:tcW w:w="1928" w:type="dxa"/>
            <w:tcBorders>
              <w:top w:val="single" w:color="auto" w:sz="2" w:space="0"/>
              <w:left w:val="single" w:color="auto" w:sz="2" w:space="0"/>
              <w:bottom w:val="single" w:color="auto" w:sz="2" w:space="0"/>
              <w:right w:val="single" w:color="auto" w:sz="2" w:space="0"/>
            </w:tcBorders>
            <w:vAlign w:val="center"/>
          </w:tcPr>
          <w:p w14:paraId="2BF66D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w:t>
            </w:r>
          </w:p>
        </w:tc>
        <w:tc>
          <w:tcPr>
            <w:tcW w:w="1928" w:type="dxa"/>
            <w:tcBorders>
              <w:top w:val="single" w:color="auto" w:sz="2" w:space="0"/>
              <w:left w:val="single" w:color="auto" w:sz="2" w:space="0"/>
              <w:bottom w:val="single" w:color="auto" w:sz="2" w:space="0"/>
              <w:right w:val="single" w:color="auto" w:sz="2" w:space="0"/>
            </w:tcBorders>
            <w:vAlign w:val="center"/>
          </w:tcPr>
          <w:p w14:paraId="58C00F8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502,380.00</w:t>
            </w:r>
          </w:p>
        </w:tc>
        <w:tc>
          <w:tcPr>
            <w:tcW w:w="1928" w:type="dxa"/>
            <w:tcBorders>
              <w:top w:val="single" w:color="auto" w:sz="2" w:space="0"/>
              <w:left w:val="single" w:color="auto" w:sz="2" w:space="0"/>
              <w:bottom w:val="single" w:color="auto" w:sz="2" w:space="0"/>
              <w:right w:val="single" w:color="auto" w:sz="2" w:space="0"/>
            </w:tcBorders>
            <w:vAlign w:val="center"/>
          </w:tcPr>
          <w:p w14:paraId="3F276A1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530,871.29</w:t>
            </w:r>
          </w:p>
        </w:tc>
      </w:tr>
      <w:tr w14:paraId="54B4FC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D3EA1B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2025年1月1日余额在本期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0D323B">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8E33B7C">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D9B7109">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4411355">
            <w:pPr>
              <w:rPr>
                <w:color w:val="auto"/>
              </w:rPr>
            </w:pPr>
          </w:p>
        </w:tc>
      </w:tr>
      <w:tr w14:paraId="55D15E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19B6C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本期计提</w:t>
            </w:r>
          </w:p>
        </w:tc>
        <w:tc>
          <w:tcPr>
            <w:tcW w:w="1928" w:type="dxa"/>
            <w:tcBorders>
              <w:top w:val="single" w:color="auto" w:sz="2" w:space="0"/>
              <w:left w:val="single" w:color="auto" w:sz="2" w:space="0"/>
              <w:bottom w:val="single" w:color="auto" w:sz="2" w:space="0"/>
              <w:right w:val="single" w:color="auto" w:sz="2" w:space="0"/>
            </w:tcBorders>
            <w:vAlign w:val="center"/>
          </w:tcPr>
          <w:p w14:paraId="5069901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2,046.86</w:t>
            </w:r>
          </w:p>
        </w:tc>
        <w:tc>
          <w:tcPr>
            <w:tcW w:w="1928" w:type="dxa"/>
            <w:tcBorders>
              <w:top w:val="single" w:color="auto" w:sz="2" w:space="0"/>
              <w:left w:val="single" w:color="auto" w:sz="2" w:space="0"/>
              <w:bottom w:val="single" w:color="auto" w:sz="2" w:space="0"/>
              <w:right w:val="single" w:color="auto" w:sz="2" w:space="0"/>
            </w:tcBorders>
            <w:vAlign w:val="center"/>
          </w:tcPr>
          <w:p w14:paraId="7D7AC33A">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CC66801">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C4E464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2,046.86</w:t>
            </w:r>
          </w:p>
        </w:tc>
      </w:tr>
      <w:tr w14:paraId="486F01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5D4E6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本期转回</w:t>
            </w:r>
          </w:p>
        </w:tc>
        <w:tc>
          <w:tcPr>
            <w:tcW w:w="1928" w:type="dxa"/>
            <w:tcBorders>
              <w:top w:val="single" w:color="auto" w:sz="2" w:space="0"/>
              <w:left w:val="single" w:color="auto" w:sz="2" w:space="0"/>
              <w:bottom w:val="single" w:color="auto" w:sz="2" w:space="0"/>
              <w:right w:val="single" w:color="auto" w:sz="2" w:space="0"/>
            </w:tcBorders>
            <w:vAlign w:val="center"/>
          </w:tcPr>
          <w:p w14:paraId="642FBE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638.22</w:t>
            </w:r>
          </w:p>
        </w:tc>
        <w:tc>
          <w:tcPr>
            <w:tcW w:w="1928" w:type="dxa"/>
            <w:tcBorders>
              <w:top w:val="single" w:color="auto" w:sz="2" w:space="0"/>
              <w:left w:val="single" w:color="auto" w:sz="2" w:space="0"/>
              <w:bottom w:val="single" w:color="auto" w:sz="2" w:space="0"/>
              <w:right w:val="single" w:color="auto" w:sz="2" w:space="0"/>
            </w:tcBorders>
            <w:vAlign w:val="center"/>
          </w:tcPr>
          <w:p w14:paraId="2F55D59F">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F0DDA9D">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6FB8F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638.22</w:t>
            </w:r>
          </w:p>
        </w:tc>
      </w:tr>
      <w:tr w14:paraId="0761F0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8D42C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2025年6月30日余额</w:t>
            </w:r>
          </w:p>
        </w:tc>
        <w:tc>
          <w:tcPr>
            <w:tcW w:w="1928" w:type="dxa"/>
            <w:tcBorders>
              <w:top w:val="single" w:color="auto" w:sz="2" w:space="0"/>
              <w:left w:val="single" w:color="auto" w:sz="2" w:space="0"/>
              <w:bottom w:val="single" w:color="auto" w:sz="2" w:space="0"/>
              <w:right w:val="single" w:color="auto" w:sz="2" w:space="0"/>
            </w:tcBorders>
            <w:vAlign w:val="center"/>
          </w:tcPr>
          <w:p w14:paraId="02F6668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29,399.93</w:t>
            </w:r>
          </w:p>
        </w:tc>
        <w:tc>
          <w:tcPr>
            <w:tcW w:w="1928" w:type="dxa"/>
            <w:tcBorders>
              <w:top w:val="single" w:color="auto" w:sz="2" w:space="0"/>
              <w:left w:val="single" w:color="auto" w:sz="2" w:space="0"/>
              <w:bottom w:val="single" w:color="auto" w:sz="2" w:space="0"/>
              <w:right w:val="single" w:color="auto" w:sz="2" w:space="0"/>
            </w:tcBorders>
            <w:vAlign w:val="center"/>
          </w:tcPr>
          <w:p w14:paraId="384BCFD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w:t>
            </w:r>
          </w:p>
        </w:tc>
        <w:tc>
          <w:tcPr>
            <w:tcW w:w="1928" w:type="dxa"/>
            <w:tcBorders>
              <w:top w:val="single" w:color="auto" w:sz="2" w:space="0"/>
              <w:left w:val="single" w:color="auto" w:sz="2" w:space="0"/>
              <w:bottom w:val="single" w:color="auto" w:sz="2" w:space="0"/>
              <w:right w:val="single" w:color="auto" w:sz="2" w:space="0"/>
            </w:tcBorders>
            <w:vAlign w:val="center"/>
          </w:tcPr>
          <w:p w14:paraId="5F7AD6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502,380.00</w:t>
            </w:r>
          </w:p>
        </w:tc>
        <w:tc>
          <w:tcPr>
            <w:tcW w:w="1928" w:type="dxa"/>
            <w:tcBorders>
              <w:top w:val="single" w:color="auto" w:sz="2" w:space="0"/>
              <w:left w:val="single" w:color="auto" w:sz="2" w:space="0"/>
              <w:bottom w:val="single" w:color="auto" w:sz="2" w:space="0"/>
              <w:right w:val="single" w:color="auto" w:sz="2" w:space="0"/>
            </w:tcBorders>
            <w:vAlign w:val="center"/>
          </w:tcPr>
          <w:p w14:paraId="6979741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532,279.93</w:t>
            </w:r>
          </w:p>
        </w:tc>
      </w:tr>
    </w:tbl>
    <w:p w14:paraId="441161C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各阶段划分依据和坏账准备计提比例</w:t>
      </w:r>
    </w:p>
    <w:p w14:paraId="36BAC22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损失准备本期变动金额重大的账面余额变动情况</w:t>
      </w:r>
    </w:p>
    <w:p w14:paraId="5D116F0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1BC6643A">
      <w:pPr>
        <w:keepNext/>
        <w:keepLines/>
        <w:spacing w:before="300" w:after="300" w:line="280" w:lineRule="exact"/>
        <w:jc w:val="left"/>
        <w:outlineLvl w:val="4"/>
        <w:rPr>
          <w:rFonts w:ascii="宋体" w:hAnsi="宋体" w:eastAsia="宋体" w:cs="宋体"/>
          <w:b/>
          <w:bCs/>
          <w:color w:val="auto"/>
          <w:sz w:val="21"/>
          <w:szCs w:val="21"/>
        </w:rPr>
      </w:pPr>
      <w:bookmarkStart w:id="126" w:name="_Toc989102"/>
      <w:r>
        <w:rPr>
          <w:rFonts w:ascii="宋体" w:hAnsi="宋体" w:eastAsia="宋体" w:cs="宋体"/>
          <w:b/>
          <w:bCs/>
          <w:color w:val="auto"/>
          <w:sz w:val="21"/>
          <w:szCs w:val="21"/>
        </w:rPr>
        <w:t>4）本期计提、收回或转回的坏账准备情况</w:t>
      </w:r>
      <w:bookmarkEnd w:id="126"/>
    </w:p>
    <w:p w14:paraId="46C2718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本期计提坏账准备情况：</w:t>
      </w:r>
    </w:p>
    <w:p w14:paraId="3FA353A0">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1AFAF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2D25B2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9B8549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EBB628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BA39A9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77C658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68CD0D">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876D792">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A00251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0FAA13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F087B8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F9F7E8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B8D5B4A">
            <w:pPr>
              <w:rPr>
                <w:color w:val="auto"/>
              </w:rPr>
            </w:pPr>
          </w:p>
        </w:tc>
      </w:tr>
      <w:tr w14:paraId="75558F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4F9723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按单项计提坏账准备</w:t>
            </w:r>
          </w:p>
        </w:tc>
        <w:tc>
          <w:tcPr>
            <w:tcW w:w="1377" w:type="dxa"/>
            <w:tcBorders>
              <w:top w:val="single" w:color="auto" w:sz="2" w:space="0"/>
              <w:left w:val="single" w:color="auto" w:sz="2" w:space="0"/>
              <w:bottom w:val="single" w:color="auto" w:sz="2" w:space="0"/>
              <w:right w:val="single" w:color="auto" w:sz="2" w:space="0"/>
            </w:tcBorders>
            <w:vAlign w:val="center"/>
          </w:tcPr>
          <w:p w14:paraId="2E8D9E3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377" w:type="dxa"/>
            <w:tcBorders>
              <w:top w:val="single" w:color="auto" w:sz="2" w:space="0"/>
              <w:left w:val="single" w:color="auto" w:sz="2" w:space="0"/>
              <w:bottom w:val="single" w:color="auto" w:sz="2" w:space="0"/>
              <w:right w:val="single" w:color="auto" w:sz="2" w:space="0"/>
            </w:tcBorders>
            <w:vAlign w:val="center"/>
          </w:tcPr>
          <w:p w14:paraId="598BDE8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65777B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401802A">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F4F583">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77B9B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r>
      <w:tr w14:paraId="4C5D16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C55765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按组合计提预期信用损失的其他应收款</w:t>
            </w:r>
          </w:p>
        </w:tc>
        <w:tc>
          <w:tcPr>
            <w:tcW w:w="1377" w:type="dxa"/>
            <w:tcBorders>
              <w:top w:val="single" w:color="auto" w:sz="2" w:space="0"/>
              <w:left w:val="single" w:color="auto" w:sz="2" w:space="0"/>
              <w:bottom w:val="single" w:color="auto" w:sz="2" w:space="0"/>
              <w:right w:val="single" w:color="auto" w:sz="2" w:space="0"/>
            </w:tcBorders>
            <w:vAlign w:val="center"/>
          </w:tcPr>
          <w:p w14:paraId="08B02E4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30,871.29</w:t>
            </w:r>
          </w:p>
        </w:tc>
        <w:tc>
          <w:tcPr>
            <w:tcW w:w="1377" w:type="dxa"/>
            <w:tcBorders>
              <w:top w:val="single" w:color="auto" w:sz="2" w:space="0"/>
              <w:left w:val="single" w:color="auto" w:sz="2" w:space="0"/>
              <w:bottom w:val="single" w:color="auto" w:sz="2" w:space="0"/>
              <w:right w:val="single" w:color="auto" w:sz="2" w:space="0"/>
            </w:tcBorders>
            <w:vAlign w:val="center"/>
          </w:tcPr>
          <w:p w14:paraId="08C7A5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2,046.86</w:t>
            </w:r>
          </w:p>
        </w:tc>
        <w:tc>
          <w:tcPr>
            <w:tcW w:w="1377" w:type="dxa"/>
            <w:tcBorders>
              <w:top w:val="single" w:color="auto" w:sz="2" w:space="0"/>
              <w:left w:val="single" w:color="auto" w:sz="2" w:space="0"/>
              <w:bottom w:val="single" w:color="auto" w:sz="2" w:space="0"/>
              <w:right w:val="single" w:color="auto" w:sz="2" w:space="0"/>
            </w:tcBorders>
            <w:vAlign w:val="center"/>
          </w:tcPr>
          <w:p w14:paraId="5944F00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638.22</w:t>
            </w:r>
          </w:p>
        </w:tc>
        <w:tc>
          <w:tcPr>
            <w:tcW w:w="1377" w:type="dxa"/>
            <w:tcBorders>
              <w:top w:val="single" w:color="auto" w:sz="2" w:space="0"/>
              <w:left w:val="single" w:color="auto" w:sz="2" w:space="0"/>
              <w:bottom w:val="single" w:color="auto" w:sz="2" w:space="0"/>
              <w:right w:val="single" w:color="auto" w:sz="2" w:space="0"/>
            </w:tcBorders>
            <w:vAlign w:val="center"/>
          </w:tcPr>
          <w:p w14:paraId="518CB5C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5F37C8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77B6C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32,279.93</w:t>
            </w:r>
          </w:p>
        </w:tc>
      </w:tr>
      <w:tr w14:paraId="30152B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C9456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21DA2C2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530,871.29</w:t>
            </w:r>
          </w:p>
        </w:tc>
        <w:tc>
          <w:tcPr>
            <w:tcW w:w="1377" w:type="dxa"/>
            <w:tcBorders>
              <w:top w:val="single" w:color="auto" w:sz="2" w:space="0"/>
              <w:left w:val="single" w:color="auto" w:sz="2" w:space="0"/>
              <w:bottom w:val="single" w:color="auto" w:sz="2" w:space="0"/>
              <w:right w:val="single" w:color="auto" w:sz="2" w:space="0"/>
            </w:tcBorders>
            <w:vAlign w:val="center"/>
          </w:tcPr>
          <w:p w14:paraId="0557FE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2,046.86</w:t>
            </w:r>
          </w:p>
        </w:tc>
        <w:tc>
          <w:tcPr>
            <w:tcW w:w="1377" w:type="dxa"/>
            <w:tcBorders>
              <w:top w:val="single" w:color="auto" w:sz="2" w:space="0"/>
              <w:left w:val="single" w:color="auto" w:sz="2" w:space="0"/>
              <w:bottom w:val="single" w:color="auto" w:sz="2" w:space="0"/>
              <w:right w:val="single" w:color="auto" w:sz="2" w:space="0"/>
            </w:tcBorders>
            <w:vAlign w:val="center"/>
          </w:tcPr>
          <w:p w14:paraId="176A67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638.22</w:t>
            </w:r>
          </w:p>
        </w:tc>
        <w:tc>
          <w:tcPr>
            <w:tcW w:w="1377" w:type="dxa"/>
            <w:tcBorders>
              <w:top w:val="single" w:color="auto" w:sz="2" w:space="0"/>
              <w:left w:val="single" w:color="auto" w:sz="2" w:space="0"/>
              <w:bottom w:val="single" w:color="auto" w:sz="2" w:space="0"/>
              <w:right w:val="single" w:color="auto" w:sz="2" w:space="0"/>
            </w:tcBorders>
            <w:vAlign w:val="center"/>
          </w:tcPr>
          <w:p w14:paraId="49CC351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9433EF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39184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532,279.93</w:t>
            </w:r>
          </w:p>
        </w:tc>
      </w:tr>
    </w:tbl>
    <w:p w14:paraId="576F92A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其中本期坏账准备转回或收回金额重要的：</w:t>
      </w:r>
    </w:p>
    <w:p w14:paraId="023D48AB">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CCCE5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203996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41B47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FFFDF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FD541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23D11F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632CAC80">
      <w:pPr>
        <w:keepNext/>
        <w:keepLines/>
        <w:spacing w:before="300" w:after="300" w:line="280" w:lineRule="exact"/>
        <w:jc w:val="left"/>
        <w:outlineLvl w:val="4"/>
        <w:rPr>
          <w:rFonts w:ascii="宋体" w:hAnsi="宋体" w:eastAsia="宋体" w:cs="宋体"/>
          <w:b/>
          <w:bCs/>
          <w:color w:val="auto"/>
          <w:sz w:val="21"/>
          <w:szCs w:val="21"/>
        </w:rPr>
      </w:pPr>
      <w:bookmarkStart w:id="127" w:name="_Toc989103"/>
      <w:r>
        <w:rPr>
          <w:rFonts w:ascii="宋体" w:hAnsi="宋体" w:eastAsia="宋体" w:cs="宋体"/>
          <w:b/>
          <w:bCs/>
          <w:color w:val="auto"/>
          <w:sz w:val="21"/>
          <w:szCs w:val="21"/>
        </w:rPr>
        <w:t>5）本期实际核销的其他应收款情况</w:t>
      </w:r>
      <w:bookmarkEnd w:id="127"/>
    </w:p>
    <w:p w14:paraId="063DA9C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2ECE4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87BD37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2704F6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18FE2FF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其中重要的其他应收款核销情况：</w:t>
      </w:r>
    </w:p>
    <w:p w14:paraId="50DCC8D3">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5678FB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A67289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D6CA66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其他应收款性质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4D0E5D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CAE81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C22350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4F6EE9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0E885CF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其他应收款核销说明：</w:t>
      </w:r>
    </w:p>
    <w:p w14:paraId="6773DAA0">
      <w:pPr>
        <w:keepNext/>
        <w:keepLines/>
        <w:spacing w:before="300" w:after="300" w:line="280" w:lineRule="exact"/>
        <w:jc w:val="left"/>
        <w:outlineLvl w:val="4"/>
        <w:rPr>
          <w:rFonts w:ascii="宋体" w:hAnsi="宋体" w:eastAsia="宋体" w:cs="宋体"/>
          <w:b/>
          <w:bCs/>
          <w:color w:val="auto"/>
          <w:sz w:val="21"/>
          <w:szCs w:val="21"/>
        </w:rPr>
      </w:pPr>
      <w:bookmarkStart w:id="128" w:name="_Toc989104"/>
      <w:r>
        <w:rPr>
          <w:rFonts w:ascii="宋体" w:hAnsi="宋体" w:eastAsia="宋体" w:cs="宋体"/>
          <w:b/>
          <w:bCs/>
          <w:color w:val="auto"/>
          <w:sz w:val="21"/>
          <w:szCs w:val="21"/>
        </w:rPr>
        <w:t>6）按欠款方归集的期末余额前五名的其他应收款情况</w:t>
      </w:r>
      <w:bookmarkEnd w:id="128"/>
    </w:p>
    <w:p w14:paraId="12B0021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52C2AB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884BA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65A814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款项的性质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832C7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836A8E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账龄</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DBE96D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占其他应收款期末余额合计数的比例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CC3ACE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坏账准备期末余额</w:t>
            </w:r>
          </w:p>
        </w:tc>
      </w:tr>
      <w:tr w14:paraId="433927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B9ACCE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上海观合医药科技股份有限公司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18477CA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1606" w:type="dxa"/>
            <w:tcBorders>
              <w:top w:val="single" w:color="auto" w:sz="2" w:space="0"/>
              <w:left w:val="single" w:color="auto" w:sz="2" w:space="0"/>
              <w:bottom w:val="single" w:color="auto" w:sz="2" w:space="0"/>
              <w:right w:val="single" w:color="auto" w:sz="2" w:space="0"/>
            </w:tcBorders>
            <w:vAlign w:val="center"/>
          </w:tcPr>
          <w:p w14:paraId="1CDBF1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606" w:type="dxa"/>
            <w:tcBorders>
              <w:top w:val="single" w:color="auto" w:sz="2" w:space="0"/>
              <w:left w:val="single" w:color="auto" w:sz="2" w:space="0"/>
              <w:bottom w:val="single" w:color="auto" w:sz="2" w:space="0"/>
              <w:right w:val="single" w:color="auto" w:sz="2" w:space="0"/>
            </w:tcBorders>
            <w:vAlign w:val="center"/>
          </w:tcPr>
          <w:p w14:paraId="5283072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1-2年</w:t>
            </w:r>
          </w:p>
        </w:tc>
        <w:tc>
          <w:tcPr>
            <w:tcW w:w="1606" w:type="dxa"/>
            <w:tcBorders>
              <w:top w:val="single" w:color="auto" w:sz="2" w:space="0"/>
              <w:left w:val="single" w:color="auto" w:sz="2" w:space="0"/>
              <w:bottom w:val="single" w:color="auto" w:sz="2" w:space="0"/>
              <w:right w:val="single" w:color="auto" w:sz="2" w:space="0"/>
            </w:tcBorders>
            <w:vAlign w:val="center"/>
          </w:tcPr>
          <w:p w14:paraId="4500A0D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25.98%</w:t>
            </w:r>
          </w:p>
        </w:tc>
        <w:tc>
          <w:tcPr>
            <w:tcW w:w="1606" w:type="dxa"/>
            <w:tcBorders>
              <w:top w:val="single" w:color="auto" w:sz="2" w:space="0"/>
              <w:left w:val="single" w:color="auto" w:sz="2" w:space="0"/>
              <w:bottom w:val="single" w:color="auto" w:sz="2" w:space="0"/>
              <w:right w:val="single" w:color="auto" w:sz="2" w:space="0"/>
            </w:tcBorders>
            <w:vAlign w:val="center"/>
          </w:tcPr>
          <w:p w14:paraId="5B0E969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r>
      <w:tr w14:paraId="6FB0D4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8E59B7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广州空港阿里健康大药房有限公司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A85267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保证金</w:t>
            </w:r>
          </w:p>
        </w:tc>
        <w:tc>
          <w:tcPr>
            <w:tcW w:w="1606" w:type="dxa"/>
            <w:tcBorders>
              <w:top w:val="single" w:color="auto" w:sz="2" w:space="0"/>
              <w:left w:val="single" w:color="auto" w:sz="2" w:space="0"/>
              <w:bottom w:val="single" w:color="auto" w:sz="2" w:space="0"/>
              <w:right w:val="single" w:color="auto" w:sz="2" w:space="0"/>
            </w:tcBorders>
            <w:vAlign w:val="center"/>
          </w:tcPr>
          <w:p w14:paraId="68BCAF4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330,000.00</w:t>
            </w:r>
          </w:p>
        </w:tc>
        <w:tc>
          <w:tcPr>
            <w:tcW w:w="1606" w:type="dxa"/>
            <w:tcBorders>
              <w:top w:val="single" w:color="auto" w:sz="2" w:space="0"/>
              <w:left w:val="single" w:color="auto" w:sz="2" w:space="0"/>
              <w:bottom w:val="single" w:color="auto" w:sz="2" w:space="0"/>
              <w:right w:val="single" w:color="auto" w:sz="2" w:space="0"/>
            </w:tcBorders>
            <w:vAlign w:val="center"/>
          </w:tcPr>
          <w:p w14:paraId="55060DB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2-3年</w:t>
            </w:r>
          </w:p>
        </w:tc>
        <w:tc>
          <w:tcPr>
            <w:tcW w:w="1606" w:type="dxa"/>
            <w:tcBorders>
              <w:top w:val="single" w:color="auto" w:sz="2" w:space="0"/>
              <w:left w:val="single" w:color="auto" w:sz="2" w:space="0"/>
              <w:bottom w:val="single" w:color="auto" w:sz="2" w:space="0"/>
              <w:right w:val="single" w:color="auto" w:sz="2" w:space="0"/>
            </w:tcBorders>
            <w:vAlign w:val="center"/>
          </w:tcPr>
          <w:p w14:paraId="7959406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17.15%</w:t>
            </w:r>
          </w:p>
        </w:tc>
        <w:tc>
          <w:tcPr>
            <w:tcW w:w="1606" w:type="dxa"/>
            <w:tcBorders>
              <w:top w:val="single" w:color="auto" w:sz="2" w:space="0"/>
              <w:left w:val="single" w:color="auto" w:sz="2" w:space="0"/>
              <w:bottom w:val="single" w:color="auto" w:sz="2" w:space="0"/>
              <w:right w:val="single" w:color="auto" w:sz="2" w:space="0"/>
            </w:tcBorders>
            <w:vAlign w:val="center"/>
          </w:tcPr>
          <w:p w14:paraId="4C4E5600">
            <w:pPr>
              <w:spacing w:before="0" w:after="0" w:line="240" w:lineRule="exact"/>
              <w:jc w:val="right"/>
              <w:rPr>
                <w:rFonts w:ascii="宋体" w:hAnsi="宋体" w:eastAsia="宋体" w:cs="宋体"/>
                <w:color w:val="auto"/>
                <w:sz w:val="18"/>
                <w:szCs w:val="18"/>
              </w:rPr>
            </w:pPr>
          </w:p>
        </w:tc>
      </w:tr>
      <w:tr w14:paraId="308490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3F7296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镇江华润燃气有限公司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1B7BECC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保证金</w:t>
            </w:r>
          </w:p>
        </w:tc>
        <w:tc>
          <w:tcPr>
            <w:tcW w:w="1606" w:type="dxa"/>
            <w:tcBorders>
              <w:top w:val="single" w:color="auto" w:sz="2" w:space="0"/>
              <w:left w:val="single" w:color="auto" w:sz="2" w:space="0"/>
              <w:bottom w:val="single" w:color="auto" w:sz="2" w:space="0"/>
              <w:right w:val="single" w:color="auto" w:sz="2" w:space="0"/>
            </w:tcBorders>
            <w:vAlign w:val="center"/>
          </w:tcPr>
          <w:p w14:paraId="4CB6EDF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174,000.00</w:t>
            </w:r>
          </w:p>
        </w:tc>
        <w:tc>
          <w:tcPr>
            <w:tcW w:w="1606" w:type="dxa"/>
            <w:tcBorders>
              <w:top w:val="single" w:color="auto" w:sz="2" w:space="0"/>
              <w:left w:val="single" w:color="auto" w:sz="2" w:space="0"/>
              <w:bottom w:val="single" w:color="auto" w:sz="2" w:space="0"/>
              <w:right w:val="single" w:color="auto" w:sz="2" w:space="0"/>
            </w:tcBorders>
            <w:vAlign w:val="center"/>
          </w:tcPr>
          <w:p w14:paraId="7B9954D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1606" w:type="dxa"/>
            <w:tcBorders>
              <w:top w:val="single" w:color="auto" w:sz="2" w:space="0"/>
              <w:left w:val="single" w:color="auto" w:sz="2" w:space="0"/>
              <w:bottom w:val="single" w:color="auto" w:sz="2" w:space="0"/>
              <w:right w:val="single" w:color="auto" w:sz="2" w:space="0"/>
            </w:tcBorders>
            <w:vAlign w:val="center"/>
          </w:tcPr>
          <w:p w14:paraId="3FCEFC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9.04%</w:t>
            </w:r>
          </w:p>
        </w:tc>
        <w:tc>
          <w:tcPr>
            <w:tcW w:w="1606" w:type="dxa"/>
            <w:tcBorders>
              <w:top w:val="single" w:color="auto" w:sz="2" w:space="0"/>
              <w:left w:val="single" w:color="auto" w:sz="2" w:space="0"/>
              <w:bottom w:val="single" w:color="auto" w:sz="2" w:space="0"/>
              <w:right w:val="single" w:color="auto" w:sz="2" w:space="0"/>
            </w:tcBorders>
            <w:vAlign w:val="center"/>
          </w:tcPr>
          <w:p w14:paraId="3DF5FF16">
            <w:pPr>
              <w:spacing w:before="0" w:after="0" w:line="240" w:lineRule="exact"/>
              <w:jc w:val="right"/>
              <w:rPr>
                <w:rFonts w:ascii="宋体" w:hAnsi="宋体" w:eastAsia="宋体" w:cs="宋体"/>
                <w:color w:val="auto"/>
                <w:sz w:val="18"/>
                <w:szCs w:val="18"/>
              </w:rPr>
            </w:pPr>
          </w:p>
        </w:tc>
      </w:tr>
      <w:tr w14:paraId="3D1646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D91564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京东大药房(天津)有限公司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17AFDC1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保证金</w:t>
            </w:r>
          </w:p>
        </w:tc>
        <w:tc>
          <w:tcPr>
            <w:tcW w:w="1606" w:type="dxa"/>
            <w:tcBorders>
              <w:top w:val="single" w:color="auto" w:sz="2" w:space="0"/>
              <w:left w:val="single" w:color="auto" w:sz="2" w:space="0"/>
              <w:bottom w:val="single" w:color="auto" w:sz="2" w:space="0"/>
              <w:right w:val="single" w:color="auto" w:sz="2" w:space="0"/>
            </w:tcBorders>
            <w:vAlign w:val="center"/>
          </w:tcPr>
          <w:p w14:paraId="609B9B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w:t>
            </w:r>
          </w:p>
        </w:tc>
        <w:tc>
          <w:tcPr>
            <w:tcW w:w="1606" w:type="dxa"/>
            <w:tcBorders>
              <w:top w:val="single" w:color="auto" w:sz="2" w:space="0"/>
              <w:left w:val="single" w:color="auto" w:sz="2" w:space="0"/>
              <w:bottom w:val="single" w:color="auto" w:sz="2" w:space="0"/>
              <w:right w:val="single" w:color="auto" w:sz="2" w:space="0"/>
            </w:tcBorders>
            <w:vAlign w:val="center"/>
          </w:tcPr>
          <w:p w14:paraId="384565D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1年内</w:t>
            </w:r>
          </w:p>
        </w:tc>
        <w:tc>
          <w:tcPr>
            <w:tcW w:w="1606" w:type="dxa"/>
            <w:tcBorders>
              <w:top w:val="single" w:color="auto" w:sz="2" w:space="0"/>
              <w:left w:val="single" w:color="auto" w:sz="2" w:space="0"/>
              <w:bottom w:val="single" w:color="auto" w:sz="2" w:space="0"/>
              <w:right w:val="single" w:color="auto" w:sz="2" w:space="0"/>
            </w:tcBorders>
            <w:vAlign w:val="center"/>
          </w:tcPr>
          <w:p w14:paraId="4325694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5.20%</w:t>
            </w:r>
          </w:p>
        </w:tc>
        <w:tc>
          <w:tcPr>
            <w:tcW w:w="1606" w:type="dxa"/>
            <w:tcBorders>
              <w:top w:val="single" w:color="auto" w:sz="2" w:space="0"/>
              <w:left w:val="single" w:color="auto" w:sz="2" w:space="0"/>
              <w:bottom w:val="single" w:color="auto" w:sz="2" w:space="0"/>
              <w:right w:val="single" w:color="auto" w:sz="2" w:space="0"/>
            </w:tcBorders>
            <w:vAlign w:val="center"/>
          </w:tcPr>
          <w:p w14:paraId="636D91AC">
            <w:pPr>
              <w:spacing w:before="0" w:after="0" w:line="240" w:lineRule="exact"/>
              <w:jc w:val="right"/>
              <w:rPr>
                <w:rFonts w:ascii="宋体" w:hAnsi="宋体" w:eastAsia="宋体" w:cs="宋体"/>
                <w:color w:val="auto"/>
                <w:sz w:val="18"/>
                <w:szCs w:val="18"/>
              </w:rPr>
            </w:pPr>
          </w:p>
        </w:tc>
      </w:tr>
      <w:tr w14:paraId="5C3C0E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8A3EFC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福州高新区中节能物业管理有限公司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1DE6C0D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押金</w:t>
            </w:r>
          </w:p>
        </w:tc>
        <w:tc>
          <w:tcPr>
            <w:tcW w:w="1606" w:type="dxa"/>
            <w:tcBorders>
              <w:top w:val="single" w:color="auto" w:sz="2" w:space="0"/>
              <w:left w:val="single" w:color="auto" w:sz="2" w:space="0"/>
              <w:bottom w:val="single" w:color="auto" w:sz="2" w:space="0"/>
              <w:right w:val="single" w:color="auto" w:sz="2" w:space="0"/>
            </w:tcBorders>
            <w:vAlign w:val="center"/>
          </w:tcPr>
          <w:p w14:paraId="028881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w:t>
            </w:r>
          </w:p>
        </w:tc>
        <w:tc>
          <w:tcPr>
            <w:tcW w:w="1606" w:type="dxa"/>
            <w:tcBorders>
              <w:top w:val="single" w:color="auto" w:sz="2" w:space="0"/>
              <w:left w:val="single" w:color="auto" w:sz="2" w:space="0"/>
              <w:bottom w:val="single" w:color="auto" w:sz="2" w:space="0"/>
              <w:right w:val="single" w:color="auto" w:sz="2" w:space="0"/>
            </w:tcBorders>
            <w:vAlign w:val="center"/>
          </w:tcPr>
          <w:p w14:paraId="0E237AE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3-4年</w:t>
            </w:r>
          </w:p>
        </w:tc>
        <w:tc>
          <w:tcPr>
            <w:tcW w:w="1606" w:type="dxa"/>
            <w:tcBorders>
              <w:top w:val="single" w:color="auto" w:sz="2" w:space="0"/>
              <w:left w:val="single" w:color="auto" w:sz="2" w:space="0"/>
              <w:bottom w:val="single" w:color="auto" w:sz="2" w:space="0"/>
              <w:right w:val="single" w:color="auto" w:sz="2" w:space="0"/>
            </w:tcBorders>
            <w:vAlign w:val="center"/>
          </w:tcPr>
          <w:p w14:paraId="4408F0A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2.60%</w:t>
            </w:r>
          </w:p>
        </w:tc>
        <w:tc>
          <w:tcPr>
            <w:tcW w:w="1606" w:type="dxa"/>
            <w:tcBorders>
              <w:top w:val="single" w:color="auto" w:sz="2" w:space="0"/>
              <w:left w:val="single" w:color="auto" w:sz="2" w:space="0"/>
              <w:bottom w:val="single" w:color="auto" w:sz="2" w:space="0"/>
              <w:right w:val="single" w:color="auto" w:sz="2" w:space="0"/>
            </w:tcBorders>
            <w:vAlign w:val="center"/>
          </w:tcPr>
          <w:p w14:paraId="07C5760A">
            <w:pPr>
              <w:spacing w:before="0" w:after="0" w:line="240" w:lineRule="exact"/>
              <w:jc w:val="right"/>
              <w:rPr>
                <w:rFonts w:ascii="宋体" w:hAnsi="宋体" w:eastAsia="宋体" w:cs="宋体"/>
                <w:color w:val="auto"/>
                <w:sz w:val="18"/>
                <w:szCs w:val="18"/>
              </w:rPr>
            </w:pPr>
          </w:p>
        </w:tc>
      </w:tr>
      <w:tr w14:paraId="759AD5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FA3E4F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302A7B9">
            <w:pPr>
              <w:rPr>
                <w:color w:val="auto"/>
              </w:rPr>
            </w:pPr>
          </w:p>
        </w:tc>
        <w:tc>
          <w:tcPr>
            <w:tcW w:w="1606" w:type="dxa"/>
            <w:tcBorders>
              <w:top w:val="single" w:color="auto" w:sz="2" w:space="0"/>
              <w:left w:val="single" w:color="auto" w:sz="2" w:space="0"/>
              <w:bottom w:val="single" w:color="auto" w:sz="2" w:space="0"/>
              <w:right w:val="single" w:color="auto" w:sz="2" w:space="0"/>
            </w:tcBorders>
            <w:vAlign w:val="center"/>
          </w:tcPr>
          <w:p w14:paraId="67E3B78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1,154,000.00</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780ED5E">
            <w:pPr>
              <w:rPr>
                <w:color w:val="auto"/>
              </w:rPr>
            </w:pPr>
          </w:p>
        </w:tc>
        <w:tc>
          <w:tcPr>
            <w:tcW w:w="1606" w:type="dxa"/>
            <w:tcBorders>
              <w:top w:val="single" w:color="auto" w:sz="2" w:space="0"/>
              <w:left w:val="single" w:color="auto" w:sz="2" w:space="0"/>
              <w:bottom w:val="single" w:color="auto" w:sz="2" w:space="0"/>
              <w:right w:val="single" w:color="auto" w:sz="2" w:space="0"/>
            </w:tcBorders>
            <w:vAlign w:val="center"/>
          </w:tcPr>
          <w:p w14:paraId="1E4B7BD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59.96%</w:t>
            </w:r>
          </w:p>
        </w:tc>
        <w:tc>
          <w:tcPr>
            <w:tcW w:w="1606" w:type="dxa"/>
            <w:tcBorders>
              <w:top w:val="single" w:color="auto" w:sz="2" w:space="0"/>
              <w:left w:val="single" w:color="auto" w:sz="2" w:space="0"/>
              <w:bottom w:val="single" w:color="auto" w:sz="2" w:space="0"/>
              <w:right w:val="single" w:color="auto" w:sz="2" w:space="0"/>
            </w:tcBorders>
            <w:vAlign w:val="center"/>
          </w:tcPr>
          <w:p w14:paraId="435CDF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r>
    </w:tbl>
    <w:p w14:paraId="5E7CCCB4">
      <w:pPr>
        <w:keepNext/>
        <w:keepLines/>
        <w:spacing w:before="300" w:after="300" w:line="280" w:lineRule="exact"/>
        <w:jc w:val="left"/>
        <w:outlineLvl w:val="4"/>
        <w:rPr>
          <w:rFonts w:ascii="宋体" w:hAnsi="宋体" w:eastAsia="宋体" w:cs="宋体"/>
          <w:b/>
          <w:bCs/>
          <w:color w:val="auto"/>
          <w:sz w:val="21"/>
          <w:szCs w:val="21"/>
        </w:rPr>
      </w:pPr>
      <w:bookmarkStart w:id="129" w:name="_Toc989105"/>
      <w:r>
        <w:rPr>
          <w:rFonts w:ascii="宋体" w:hAnsi="宋体" w:eastAsia="宋体" w:cs="宋体"/>
          <w:b/>
          <w:bCs/>
          <w:color w:val="auto"/>
          <w:sz w:val="21"/>
          <w:szCs w:val="21"/>
        </w:rPr>
        <w:t>7）因资金集中管理而列报于其他应收款</w:t>
      </w:r>
      <w:bookmarkEnd w:id="129"/>
    </w:p>
    <w:p w14:paraId="7963C0D1">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p w14:paraId="7318793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F7BA67A">
      <w:pPr>
        <w:keepNext/>
        <w:keepLines/>
        <w:spacing w:before="300" w:after="300" w:line="280" w:lineRule="exact"/>
        <w:jc w:val="left"/>
        <w:outlineLvl w:val="2"/>
        <w:rPr>
          <w:rFonts w:ascii="宋体" w:hAnsi="宋体" w:eastAsia="宋体" w:cs="宋体"/>
          <w:b/>
          <w:bCs/>
          <w:color w:val="auto"/>
          <w:sz w:val="21"/>
          <w:szCs w:val="21"/>
        </w:rPr>
      </w:pPr>
      <w:bookmarkStart w:id="130" w:name="_Toc989106"/>
      <w:r>
        <w:rPr>
          <w:rFonts w:ascii="宋体" w:hAnsi="宋体" w:eastAsia="宋体" w:cs="宋体"/>
          <w:b/>
          <w:bCs/>
          <w:color w:val="auto"/>
          <w:sz w:val="21"/>
          <w:szCs w:val="21"/>
        </w:rPr>
        <w:t>9、预付款项</w:t>
      </w:r>
      <w:bookmarkEnd w:id="130"/>
    </w:p>
    <w:p w14:paraId="683891FC">
      <w:pPr>
        <w:keepNext/>
        <w:keepLines/>
        <w:spacing w:before="300" w:after="300" w:line="280" w:lineRule="exact"/>
        <w:jc w:val="left"/>
        <w:outlineLvl w:val="3"/>
        <w:rPr>
          <w:rFonts w:ascii="宋体" w:hAnsi="宋体" w:eastAsia="宋体" w:cs="宋体"/>
          <w:b/>
          <w:bCs/>
          <w:color w:val="auto"/>
          <w:sz w:val="21"/>
          <w:szCs w:val="21"/>
        </w:rPr>
      </w:pPr>
      <w:bookmarkStart w:id="131" w:name="_Toc989107"/>
      <w:r>
        <w:rPr>
          <w:rFonts w:ascii="宋体" w:hAnsi="宋体" w:eastAsia="宋体" w:cs="宋体"/>
          <w:b/>
          <w:bCs/>
          <w:color w:val="auto"/>
          <w:sz w:val="21"/>
          <w:szCs w:val="21"/>
        </w:rPr>
        <w:t>（1）预付款项按账龄列示</w:t>
      </w:r>
      <w:bookmarkEnd w:id="131"/>
    </w:p>
    <w:p w14:paraId="7AC51FA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8DE67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01A7B6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账龄</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952C07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4736A5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42E1F0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064EEE4">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5320E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E7DA5C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CA047D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F2B75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r>
      <w:tr w14:paraId="13815A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2CE52D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1928" w:type="dxa"/>
            <w:tcBorders>
              <w:top w:val="single" w:color="auto" w:sz="2" w:space="0"/>
              <w:left w:val="single" w:color="auto" w:sz="2" w:space="0"/>
              <w:bottom w:val="single" w:color="auto" w:sz="2" w:space="0"/>
              <w:right w:val="single" w:color="auto" w:sz="2" w:space="0"/>
            </w:tcBorders>
            <w:vAlign w:val="center"/>
          </w:tcPr>
          <w:p w14:paraId="68AFC9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2,290,867.53</w:t>
            </w:r>
          </w:p>
        </w:tc>
        <w:tc>
          <w:tcPr>
            <w:tcW w:w="1928" w:type="dxa"/>
            <w:tcBorders>
              <w:top w:val="single" w:color="auto" w:sz="2" w:space="0"/>
              <w:left w:val="single" w:color="auto" w:sz="2" w:space="0"/>
              <w:bottom w:val="single" w:color="auto" w:sz="2" w:space="0"/>
              <w:right w:val="single" w:color="auto" w:sz="2" w:space="0"/>
            </w:tcBorders>
            <w:vAlign w:val="center"/>
          </w:tcPr>
          <w:p w14:paraId="4D4EC7C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41.61%</w:t>
            </w:r>
          </w:p>
        </w:tc>
        <w:tc>
          <w:tcPr>
            <w:tcW w:w="1928" w:type="dxa"/>
            <w:tcBorders>
              <w:top w:val="single" w:color="auto" w:sz="2" w:space="0"/>
              <w:left w:val="single" w:color="auto" w:sz="2" w:space="0"/>
              <w:bottom w:val="single" w:color="auto" w:sz="2" w:space="0"/>
              <w:right w:val="single" w:color="auto" w:sz="2" w:space="0"/>
            </w:tcBorders>
            <w:vAlign w:val="center"/>
          </w:tcPr>
          <w:p w14:paraId="0764DA5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4,079,413.36</w:t>
            </w:r>
          </w:p>
        </w:tc>
        <w:tc>
          <w:tcPr>
            <w:tcW w:w="1928" w:type="dxa"/>
            <w:tcBorders>
              <w:top w:val="single" w:color="auto" w:sz="2" w:space="0"/>
              <w:left w:val="single" w:color="auto" w:sz="2" w:space="0"/>
              <w:bottom w:val="single" w:color="auto" w:sz="2" w:space="0"/>
              <w:right w:val="single" w:color="auto" w:sz="2" w:space="0"/>
            </w:tcBorders>
            <w:vAlign w:val="center"/>
          </w:tcPr>
          <w:p w14:paraId="64F267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28.41%</w:t>
            </w:r>
          </w:p>
        </w:tc>
      </w:tr>
      <w:tr w14:paraId="393335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0B7C0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1至2年</w:t>
            </w:r>
          </w:p>
        </w:tc>
        <w:tc>
          <w:tcPr>
            <w:tcW w:w="1928" w:type="dxa"/>
            <w:tcBorders>
              <w:top w:val="single" w:color="auto" w:sz="2" w:space="0"/>
              <w:left w:val="single" w:color="auto" w:sz="2" w:space="0"/>
              <w:bottom w:val="single" w:color="auto" w:sz="2" w:space="0"/>
              <w:right w:val="single" w:color="auto" w:sz="2" w:space="0"/>
            </w:tcBorders>
            <w:vAlign w:val="center"/>
          </w:tcPr>
          <w:p w14:paraId="3E17333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28,301.89</w:t>
            </w:r>
          </w:p>
        </w:tc>
        <w:tc>
          <w:tcPr>
            <w:tcW w:w="1928" w:type="dxa"/>
            <w:tcBorders>
              <w:top w:val="single" w:color="auto" w:sz="2" w:space="0"/>
              <w:left w:val="single" w:color="auto" w:sz="2" w:space="0"/>
              <w:bottom w:val="single" w:color="auto" w:sz="2" w:space="0"/>
              <w:right w:val="single" w:color="auto" w:sz="2" w:space="0"/>
            </w:tcBorders>
            <w:vAlign w:val="center"/>
          </w:tcPr>
          <w:p w14:paraId="35AE70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0.51%</w:t>
            </w:r>
          </w:p>
        </w:tc>
        <w:tc>
          <w:tcPr>
            <w:tcW w:w="1928" w:type="dxa"/>
            <w:tcBorders>
              <w:top w:val="single" w:color="auto" w:sz="2" w:space="0"/>
              <w:left w:val="single" w:color="auto" w:sz="2" w:space="0"/>
              <w:bottom w:val="single" w:color="auto" w:sz="2" w:space="0"/>
              <w:right w:val="single" w:color="auto" w:sz="2" w:space="0"/>
            </w:tcBorders>
            <w:vAlign w:val="center"/>
          </w:tcPr>
          <w:p w14:paraId="3C2363B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10,003,072.90</w:t>
            </w:r>
          </w:p>
        </w:tc>
        <w:tc>
          <w:tcPr>
            <w:tcW w:w="1928" w:type="dxa"/>
            <w:tcBorders>
              <w:top w:val="single" w:color="auto" w:sz="2" w:space="0"/>
              <w:left w:val="single" w:color="auto" w:sz="2" w:space="0"/>
              <w:bottom w:val="single" w:color="auto" w:sz="2" w:space="0"/>
              <w:right w:val="single" w:color="auto" w:sz="2" w:space="0"/>
            </w:tcBorders>
            <w:vAlign w:val="center"/>
          </w:tcPr>
          <w:p w14:paraId="5B7110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69.65%</w:t>
            </w:r>
          </w:p>
        </w:tc>
      </w:tr>
      <w:tr w14:paraId="7ACA47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D8FF5F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2至3年</w:t>
            </w:r>
          </w:p>
        </w:tc>
        <w:tc>
          <w:tcPr>
            <w:tcW w:w="1928" w:type="dxa"/>
            <w:tcBorders>
              <w:top w:val="single" w:color="auto" w:sz="2" w:space="0"/>
              <w:left w:val="single" w:color="auto" w:sz="2" w:space="0"/>
              <w:bottom w:val="single" w:color="auto" w:sz="2" w:space="0"/>
              <w:right w:val="single" w:color="auto" w:sz="2" w:space="0"/>
            </w:tcBorders>
            <w:vAlign w:val="center"/>
          </w:tcPr>
          <w:p w14:paraId="79508B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2,395,865.21</w:t>
            </w:r>
          </w:p>
        </w:tc>
        <w:tc>
          <w:tcPr>
            <w:tcW w:w="1928" w:type="dxa"/>
            <w:tcBorders>
              <w:top w:val="single" w:color="auto" w:sz="2" w:space="0"/>
              <w:left w:val="single" w:color="auto" w:sz="2" w:space="0"/>
              <w:bottom w:val="single" w:color="auto" w:sz="2" w:space="0"/>
              <w:right w:val="single" w:color="auto" w:sz="2" w:space="0"/>
            </w:tcBorders>
            <w:vAlign w:val="center"/>
          </w:tcPr>
          <w:p w14:paraId="6FA5609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43.52%</w:t>
            </w:r>
          </w:p>
        </w:tc>
        <w:tc>
          <w:tcPr>
            <w:tcW w:w="1928" w:type="dxa"/>
            <w:tcBorders>
              <w:top w:val="single" w:color="auto" w:sz="2" w:space="0"/>
              <w:left w:val="single" w:color="auto" w:sz="2" w:space="0"/>
              <w:bottom w:val="single" w:color="auto" w:sz="2" w:space="0"/>
              <w:right w:val="single" w:color="auto" w:sz="2" w:space="0"/>
            </w:tcBorders>
            <w:vAlign w:val="center"/>
          </w:tcPr>
          <w:p w14:paraId="718D7CE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229,002.42</w:t>
            </w:r>
          </w:p>
        </w:tc>
        <w:tc>
          <w:tcPr>
            <w:tcW w:w="1928" w:type="dxa"/>
            <w:tcBorders>
              <w:top w:val="single" w:color="auto" w:sz="2" w:space="0"/>
              <w:left w:val="single" w:color="auto" w:sz="2" w:space="0"/>
              <w:bottom w:val="single" w:color="auto" w:sz="2" w:space="0"/>
              <w:right w:val="single" w:color="auto" w:sz="2" w:space="0"/>
            </w:tcBorders>
            <w:vAlign w:val="center"/>
          </w:tcPr>
          <w:p w14:paraId="58C3FB1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w:t>
            </w:r>
          </w:p>
        </w:tc>
      </w:tr>
      <w:tr w14:paraId="5BCFAC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9DC18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3年以上</w:t>
            </w:r>
          </w:p>
        </w:tc>
        <w:tc>
          <w:tcPr>
            <w:tcW w:w="1928" w:type="dxa"/>
            <w:tcBorders>
              <w:top w:val="single" w:color="auto" w:sz="2" w:space="0"/>
              <w:left w:val="single" w:color="auto" w:sz="2" w:space="0"/>
              <w:bottom w:val="single" w:color="auto" w:sz="2" w:space="0"/>
              <w:right w:val="single" w:color="auto" w:sz="2" w:space="0"/>
            </w:tcBorders>
            <w:vAlign w:val="center"/>
          </w:tcPr>
          <w:p w14:paraId="08FD48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790,326.21</w:t>
            </w:r>
          </w:p>
        </w:tc>
        <w:tc>
          <w:tcPr>
            <w:tcW w:w="1928" w:type="dxa"/>
            <w:tcBorders>
              <w:top w:val="single" w:color="auto" w:sz="2" w:space="0"/>
              <w:left w:val="single" w:color="auto" w:sz="2" w:space="0"/>
              <w:bottom w:val="single" w:color="auto" w:sz="2" w:space="0"/>
              <w:right w:val="single" w:color="auto" w:sz="2" w:space="0"/>
            </w:tcBorders>
            <w:vAlign w:val="center"/>
          </w:tcPr>
          <w:p w14:paraId="52ED469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14.36%</w:t>
            </w:r>
          </w:p>
        </w:tc>
        <w:tc>
          <w:tcPr>
            <w:tcW w:w="1928" w:type="dxa"/>
            <w:tcBorders>
              <w:top w:val="single" w:color="auto" w:sz="2" w:space="0"/>
              <w:left w:val="single" w:color="auto" w:sz="2" w:space="0"/>
              <w:bottom w:val="single" w:color="auto" w:sz="2" w:space="0"/>
              <w:right w:val="single" w:color="auto" w:sz="2" w:space="0"/>
            </w:tcBorders>
            <w:vAlign w:val="center"/>
          </w:tcPr>
          <w:p w14:paraId="00E5B87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49,576.21</w:t>
            </w:r>
          </w:p>
        </w:tc>
        <w:tc>
          <w:tcPr>
            <w:tcW w:w="1928" w:type="dxa"/>
            <w:tcBorders>
              <w:top w:val="single" w:color="auto" w:sz="2" w:space="0"/>
              <w:left w:val="single" w:color="auto" w:sz="2" w:space="0"/>
              <w:bottom w:val="single" w:color="auto" w:sz="2" w:space="0"/>
              <w:right w:val="single" w:color="auto" w:sz="2" w:space="0"/>
            </w:tcBorders>
            <w:vAlign w:val="center"/>
          </w:tcPr>
          <w:p w14:paraId="0E5350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0.35%</w:t>
            </w:r>
          </w:p>
        </w:tc>
      </w:tr>
      <w:tr w14:paraId="1E2E01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85ABD3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48FFBBA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5,505,360.84</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F84386">
            <w:pPr>
              <w:rPr>
                <w:color w:val="auto"/>
              </w:rPr>
            </w:pPr>
          </w:p>
        </w:tc>
        <w:tc>
          <w:tcPr>
            <w:tcW w:w="1928" w:type="dxa"/>
            <w:tcBorders>
              <w:top w:val="single" w:color="auto" w:sz="2" w:space="0"/>
              <w:left w:val="single" w:color="auto" w:sz="2" w:space="0"/>
              <w:bottom w:val="single" w:color="auto" w:sz="2" w:space="0"/>
              <w:right w:val="single" w:color="auto" w:sz="2" w:space="0"/>
            </w:tcBorders>
            <w:vAlign w:val="center"/>
          </w:tcPr>
          <w:p w14:paraId="3183E46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14,361,064.89</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D90C3B9">
            <w:pPr>
              <w:rPr>
                <w:color w:val="auto"/>
              </w:rPr>
            </w:pPr>
          </w:p>
        </w:tc>
      </w:tr>
    </w:tbl>
    <w:p w14:paraId="1BC4AE3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账龄超过1年且金额重要的预付款项未及时结算原因的说明：</w:t>
      </w:r>
    </w:p>
    <w:tbl>
      <w:tblPr>
        <w:tblStyle w:val="5"/>
        <w:tblW w:w="95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762"/>
        <w:gridCol w:w="1540"/>
        <w:gridCol w:w="1170"/>
        <w:gridCol w:w="4070"/>
      </w:tblGrid>
      <w:tr w14:paraId="2E5FC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762" w:type="dxa"/>
            <w:tcBorders>
              <w:top w:val="single" w:color="000000" w:sz="8" w:space="0"/>
              <w:left w:val="single" w:color="000000" w:sz="8" w:space="0"/>
              <w:bottom w:val="single" w:color="000000" w:sz="8" w:space="0"/>
              <w:right w:val="single" w:color="000000" w:sz="8" w:space="0"/>
            </w:tcBorders>
            <w:shd w:val="clear" w:color="auto" w:fill="auto"/>
            <w:tcMar>
              <w:top w:w="10" w:type="dxa"/>
              <w:left w:w="10" w:type="dxa"/>
              <w:right w:w="10" w:type="dxa"/>
            </w:tcMar>
            <w:vAlign w:val="top"/>
          </w:tcPr>
          <w:p w14:paraId="3BB70224">
            <w:pPr>
              <w:keepNext w:val="0"/>
              <w:keepLines w:val="0"/>
              <w:widowControl/>
              <w:suppressLineNumbers w:val="0"/>
              <w:jc w:val="center"/>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单位名称</w:t>
            </w:r>
          </w:p>
        </w:tc>
        <w:tc>
          <w:tcPr>
            <w:tcW w:w="154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top"/>
          </w:tcPr>
          <w:p w14:paraId="51C78141">
            <w:pPr>
              <w:keepNext w:val="0"/>
              <w:keepLines w:val="0"/>
              <w:widowControl/>
              <w:suppressLineNumbers w:val="0"/>
              <w:jc w:val="center"/>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期末余额</w:t>
            </w:r>
          </w:p>
        </w:tc>
        <w:tc>
          <w:tcPr>
            <w:tcW w:w="117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top"/>
          </w:tcPr>
          <w:p w14:paraId="541E45F7">
            <w:pPr>
              <w:keepNext w:val="0"/>
              <w:keepLines w:val="0"/>
              <w:widowControl/>
              <w:suppressLineNumbers w:val="0"/>
              <w:jc w:val="center"/>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账龄</w:t>
            </w:r>
          </w:p>
        </w:tc>
        <w:tc>
          <w:tcPr>
            <w:tcW w:w="407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top"/>
          </w:tcPr>
          <w:p w14:paraId="4DECFAE6">
            <w:pPr>
              <w:keepNext w:val="0"/>
              <w:keepLines w:val="0"/>
              <w:widowControl/>
              <w:suppressLineNumbers w:val="0"/>
              <w:jc w:val="center"/>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未及时结算原因</w:t>
            </w:r>
          </w:p>
        </w:tc>
      </w:tr>
      <w:tr w14:paraId="1A253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1" w:hRule="atLeast"/>
        </w:trPr>
        <w:tc>
          <w:tcPr>
            <w:tcW w:w="276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26ABBE4F">
            <w:pPr>
              <w:keepNext w:val="0"/>
              <w:keepLines w:val="0"/>
              <w:widowControl/>
              <w:suppressLineNumbers w:val="0"/>
              <w:jc w:val="left"/>
              <w:textAlignment w:val="center"/>
              <w:rPr>
                <w:rFonts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宁夏蓝博思化学技术有限公司</w:t>
            </w:r>
          </w:p>
        </w:tc>
        <w:tc>
          <w:tcPr>
            <w:tcW w:w="1540" w:type="dxa"/>
            <w:tcBorders>
              <w:top w:val="nil"/>
              <w:left w:val="nil"/>
              <w:bottom w:val="single" w:color="auto" w:sz="8" w:space="0"/>
              <w:right w:val="single" w:color="auto" w:sz="8" w:space="0"/>
            </w:tcBorders>
            <w:shd w:val="clear" w:color="auto" w:fill="auto"/>
            <w:tcMar>
              <w:top w:w="10" w:type="dxa"/>
              <w:left w:w="10" w:type="dxa"/>
              <w:right w:w="10" w:type="dxa"/>
            </w:tcMar>
            <w:vAlign w:val="top"/>
          </w:tcPr>
          <w:p w14:paraId="11704F83">
            <w:pPr>
              <w:keepNext w:val="0"/>
              <w:keepLines w:val="0"/>
              <w:widowControl/>
              <w:suppressLineNumbers w:val="0"/>
              <w:jc w:val="right"/>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2,366,739.00 </w:t>
            </w:r>
          </w:p>
        </w:tc>
        <w:tc>
          <w:tcPr>
            <w:tcW w:w="1170" w:type="dxa"/>
            <w:tcBorders>
              <w:top w:val="nil"/>
              <w:left w:val="nil"/>
              <w:bottom w:val="single" w:color="auto" w:sz="8" w:space="0"/>
              <w:right w:val="single" w:color="auto" w:sz="8" w:space="0"/>
            </w:tcBorders>
            <w:shd w:val="clear" w:color="auto" w:fill="auto"/>
            <w:tcMar>
              <w:top w:w="10" w:type="dxa"/>
              <w:left w:w="10" w:type="dxa"/>
              <w:right w:w="10" w:type="dxa"/>
            </w:tcMar>
            <w:vAlign w:val="top"/>
          </w:tcPr>
          <w:p w14:paraId="233E3AC5">
            <w:pPr>
              <w:keepNext w:val="0"/>
              <w:keepLines w:val="0"/>
              <w:widowControl/>
              <w:suppressLineNumbers w:val="0"/>
              <w:jc w:val="left"/>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2至3年</w:t>
            </w:r>
          </w:p>
        </w:tc>
        <w:tc>
          <w:tcPr>
            <w:tcW w:w="407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0722FAA7">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计划换母公司采购，待退款</w:t>
            </w:r>
          </w:p>
        </w:tc>
      </w:tr>
      <w:tr w14:paraId="0C5D4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76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124FAF68">
            <w:pPr>
              <w:keepNext w:val="0"/>
              <w:keepLines w:val="0"/>
              <w:widowControl/>
              <w:suppressLineNumbers w:val="0"/>
              <w:jc w:val="lef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北京市天理律师事务所</w:t>
            </w:r>
          </w:p>
        </w:tc>
        <w:tc>
          <w:tcPr>
            <w:tcW w:w="1540" w:type="dxa"/>
            <w:tcBorders>
              <w:top w:val="nil"/>
              <w:left w:val="nil"/>
              <w:bottom w:val="single" w:color="auto" w:sz="8" w:space="0"/>
              <w:right w:val="single" w:color="auto" w:sz="8" w:space="0"/>
            </w:tcBorders>
            <w:shd w:val="clear" w:color="auto" w:fill="auto"/>
            <w:tcMar>
              <w:top w:w="10" w:type="dxa"/>
              <w:left w:w="10" w:type="dxa"/>
              <w:right w:w="10" w:type="dxa"/>
            </w:tcMar>
            <w:vAlign w:val="top"/>
          </w:tcPr>
          <w:p w14:paraId="2A53CCC8">
            <w:pPr>
              <w:keepNext w:val="0"/>
              <w:keepLines w:val="0"/>
              <w:widowControl/>
              <w:suppressLineNumbers w:val="0"/>
              <w:jc w:val="right"/>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570,000.00 </w:t>
            </w:r>
          </w:p>
        </w:tc>
        <w:tc>
          <w:tcPr>
            <w:tcW w:w="1170" w:type="dxa"/>
            <w:tcBorders>
              <w:top w:val="nil"/>
              <w:left w:val="nil"/>
              <w:bottom w:val="single" w:color="auto" w:sz="8" w:space="0"/>
              <w:right w:val="single" w:color="auto" w:sz="8" w:space="0"/>
            </w:tcBorders>
            <w:shd w:val="clear" w:color="auto" w:fill="auto"/>
            <w:tcMar>
              <w:top w:w="10" w:type="dxa"/>
              <w:left w:w="10" w:type="dxa"/>
              <w:right w:w="10" w:type="dxa"/>
            </w:tcMar>
            <w:vAlign w:val="top"/>
          </w:tcPr>
          <w:p w14:paraId="4A573817">
            <w:pPr>
              <w:keepNext w:val="0"/>
              <w:keepLines w:val="0"/>
              <w:widowControl/>
              <w:suppressLineNumbers w:val="0"/>
              <w:jc w:val="left"/>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3年以上</w:t>
            </w:r>
          </w:p>
        </w:tc>
        <w:tc>
          <w:tcPr>
            <w:tcW w:w="407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6CACAD8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待退款</w:t>
            </w:r>
          </w:p>
        </w:tc>
      </w:tr>
      <w:tr w14:paraId="37ABA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276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4CA14C9C">
            <w:pPr>
              <w:keepNext w:val="0"/>
              <w:keepLines w:val="0"/>
              <w:widowControl/>
              <w:suppressLineNumbers w:val="0"/>
              <w:jc w:val="lef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石家庄鑫富达医药包装有限公司</w:t>
            </w:r>
          </w:p>
        </w:tc>
        <w:tc>
          <w:tcPr>
            <w:tcW w:w="1540" w:type="dxa"/>
            <w:tcBorders>
              <w:top w:val="nil"/>
              <w:left w:val="nil"/>
              <w:bottom w:val="single" w:color="auto" w:sz="8" w:space="0"/>
              <w:right w:val="single" w:color="auto" w:sz="8" w:space="0"/>
            </w:tcBorders>
            <w:shd w:val="clear" w:color="auto" w:fill="auto"/>
            <w:tcMar>
              <w:top w:w="10" w:type="dxa"/>
              <w:left w:w="10" w:type="dxa"/>
              <w:right w:w="10" w:type="dxa"/>
            </w:tcMar>
            <w:vAlign w:val="top"/>
          </w:tcPr>
          <w:p w14:paraId="67573D4A">
            <w:pPr>
              <w:keepNext w:val="0"/>
              <w:keepLines w:val="0"/>
              <w:widowControl/>
              <w:suppressLineNumbers w:val="0"/>
              <w:jc w:val="right"/>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170,750.00 </w:t>
            </w:r>
          </w:p>
        </w:tc>
        <w:tc>
          <w:tcPr>
            <w:tcW w:w="1170" w:type="dxa"/>
            <w:tcBorders>
              <w:top w:val="nil"/>
              <w:left w:val="nil"/>
              <w:bottom w:val="single" w:color="auto" w:sz="8" w:space="0"/>
              <w:right w:val="single" w:color="auto" w:sz="8" w:space="0"/>
            </w:tcBorders>
            <w:shd w:val="clear" w:color="auto" w:fill="auto"/>
            <w:tcMar>
              <w:top w:w="10" w:type="dxa"/>
              <w:left w:w="10" w:type="dxa"/>
              <w:right w:w="10" w:type="dxa"/>
            </w:tcMar>
            <w:vAlign w:val="top"/>
          </w:tcPr>
          <w:p w14:paraId="31EFF6AC">
            <w:pPr>
              <w:keepNext w:val="0"/>
              <w:keepLines w:val="0"/>
              <w:widowControl/>
              <w:suppressLineNumbers w:val="0"/>
              <w:jc w:val="left"/>
              <w:textAlignment w:val="top"/>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3年以上</w:t>
            </w:r>
          </w:p>
        </w:tc>
        <w:tc>
          <w:tcPr>
            <w:tcW w:w="407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7E0ED34">
            <w:pPr>
              <w:keepNext w:val="0"/>
              <w:keepLines w:val="0"/>
              <w:widowControl/>
              <w:suppressLineNumbers w:val="0"/>
              <w:jc w:val="lef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模具款，未达结算时间</w:t>
            </w:r>
          </w:p>
        </w:tc>
      </w:tr>
    </w:tbl>
    <w:p w14:paraId="6B083612">
      <w:pPr>
        <w:keepNext/>
        <w:keepLines/>
        <w:spacing w:before="300" w:after="300" w:line="280" w:lineRule="exact"/>
        <w:jc w:val="left"/>
        <w:outlineLvl w:val="3"/>
        <w:rPr>
          <w:rFonts w:ascii="宋体" w:hAnsi="宋体" w:eastAsia="宋体" w:cs="宋体"/>
          <w:b/>
          <w:bCs/>
          <w:color w:val="auto"/>
          <w:sz w:val="21"/>
          <w:szCs w:val="21"/>
        </w:rPr>
      </w:pPr>
      <w:bookmarkStart w:id="132" w:name="_Toc989108"/>
      <w:r>
        <w:rPr>
          <w:rFonts w:ascii="宋体" w:hAnsi="宋体" w:eastAsia="宋体" w:cs="宋体"/>
          <w:b/>
          <w:bCs/>
          <w:color w:val="auto"/>
          <w:sz w:val="21"/>
          <w:szCs w:val="21"/>
        </w:rPr>
        <w:t>（2）按预付对象归集的期末余额前五名的预付款情况</w:t>
      </w:r>
      <w:bookmarkEnd w:id="132"/>
    </w:p>
    <w:tbl>
      <w:tblPr>
        <w:tblStyle w:val="5"/>
        <w:tblW w:w="955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492"/>
        <w:gridCol w:w="1520"/>
        <w:gridCol w:w="1680"/>
        <w:gridCol w:w="1720"/>
        <w:gridCol w:w="1140"/>
      </w:tblGrid>
      <w:tr w14:paraId="48A3A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81" w:hRule="atLeast"/>
        </w:trPr>
        <w:tc>
          <w:tcPr>
            <w:tcW w:w="34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04A3E47">
            <w:pPr>
              <w:keepNext w:val="0"/>
              <w:keepLines w:val="0"/>
              <w:widowControl/>
              <w:suppressLineNumbers w:val="0"/>
              <w:jc w:val="left"/>
              <w:textAlignment w:val="center"/>
              <w:rPr>
                <w:rFonts w:hint="default" w:ascii="Times New Roman" w:hAnsi="Times New Roman" w:cs="Times New Roman"/>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单位名称</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8F79258">
            <w:pPr>
              <w:keepNext w:val="0"/>
              <w:keepLines w:val="0"/>
              <w:widowControl/>
              <w:suppressLineNumbers w:val="0"/>
              <w:jc w:val="center"/>
              <w:textAlignment w:val="center"/>
              <w:rPr>
                <w:rFonts w:hint="default" w:ascii="Times New Roman" w:hAnsi="Times New Roman" w:cs="Times New Roman"/>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期末余额</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396D1CA">
            <w:pPr>
              <w:keepNext w:val="0"/>
              <w:keepLines w:val="0"/>
              <w:widowControl/>
              <w:suppressLineNumbers w:val="0"/>
              <w:jc w:val="left"/>
              <w:textAlignment w:val="center"/>
              <w:rPr>
                <w:rFonts w:hint="default" w:ascii="Times New Roman" w:hAnsi="Times New Roman" w:cs="Times New Roman"/>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占预付款项总额的比例（</w:t>
            </w:r>
            <w:r>
              <w:rPr>
                <w:rFonts w:hint="default" w:ascii="Times New Roman" w:hAnsi="Times New Roman" w:eastAsia="宋体" w:cs="Times New Roman"/>
                <w:i w:val="0"/>
                <w:iCs w:val="0"/>
                <w:color w:val="auto"/>
                <w:kern w:val="0"/>
                <w:sz w:val="20"/>
                <w:szCs w:val="20"/>
                <w:u w:val="none"/>
                <w:lang w:val="en-US" w:eastAsia="zh-CN" w:bidi="ar"/>
              </w:rPr>
              <w:t>%</w:t>
            </w:r>
            <w:r>
              <w:rPr>
                <w:rFonts w:hint="eastAsia" w:ascii="宋体" w:hAnsi="宋体" w:eastAsia="宋体" w:cs="宋体"/>
                <w:i w:val="0"/>
                <w:iCs w:val="0"/>
                <w:color w:val="auto"/>
                <w:kern w:val="0"/>
                <w:sz w:val="20"/>
                <w:szCs w:val="20"/>
                <w:u w:val="none"/>
                <w:lang w:val="en-US" w:eastAsia="zh-CN" w:bidi="ar"/>
              </w:rPr>
              <w:t>）</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9789477">
            <w:pPr>
              <w:keepNext w:val="0"/>
              <w:keepLines w:val="0"/>
              <w:widowControl/>
              <w:suppressLineNumbers w:val="0"/>
              <w:jc w:val="center"/>
              <w:textAlignment w:val="center"/>
              <w:rPr>
                <w:rFonts w:hint="default" w:ascii="Times New Roman" w:hAnsi="Times New Roman" w:cs="Times New Roman"/>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预付款时间</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8B401E2">
            <w:pPr>
              <w:keepNext w:val="0"/>
              <w:keepLines w:val="0"/>
              <w:widowControl/>
              <w:suppressLineNumbers w:val="0"/>
              <w:jc w:val="left"/>
              <w:textAlignment w:val="center"/>
              <w:rPr>
                <w:rFonts w:hint="default" w:ascii="Times New Roman" w:hAnsi="Times New Roman" w:cs="Times New Roman"/>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无结算原因</w:t>
            </w:r>
          </w:p>
        </w:tc>
      </w:tr>
      <w:tr w14:paraId="21D34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9" w:hRule="atLeast"/>
        </w:trPr>
        <w:tc>
          <w:tcPr>
            <w:tcW w:w="34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81D7C3C">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宁夏蓝博思化学技术有限公司</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235F53E">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 2,366,739.00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0193BC1">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42.99%</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555C7A8">
            <w:pPr>
              <w:keepNext w:val="0"/>
              <w:keepLines w:val="0"/>
              <w:widowControl/>
              <w:suppressLineNumbers w:val="0"/>
              <w:jc w:val="center"/>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2</w:t>
            </w:r>
            <w:r>
              <w:rPr>
                <w:rFonts w:hint="eastAsia" w:ascii="宋体" w:hAnsi="宋体" w:eastAsia="宋体" w:cs="宋体"/>
                <w:i w:val="0"/>
                <w:iCs w:val="0"/>
                <w:color w:val="auto"/>
                <w:kern w:val="0"/>
                <w:sz w:val="20"/>
                <w:szCs w:val="20"/>
                <w:u w:val="none"/>
                <w:lang w:val="en-US" w:eastAsia="zh-CN" w:bidi="ar"/>
              </w:rPr>
              <w:t>至</w:t>
            </w:r>
            <w:r>
              <w:rPr>
                <w:rFonts w:hint="default" w:ascii="Times New Roman" w:hAnsi="Times New Roman" w:eastAsia="宋体" w:cs="Times New Roman"/>
                <w:i w:val="0"/>
                <w:iCs w:val="0"/>
                <w:color w:val="auto"/>
                <w:kern w:val="0"/>
                <w:sz w:val="20"/>
                <w:szCs w:val="20"/>
                <w:u w:val="none"/>
                <w:lang w:val="en-US" w:eastAsia="zh-CN" w:bidi="ar"/>
              </w:rPr>
              <w:t>3</w:t>
            </w:r>
            <w:r>
              <w:rPr>
                <w:rFonts w:hint="eastAsia" w:ascii="宋体" w:hAnsi="宋体" w:eastAsia="宋体" w:cs="宋体"/>
                <w:i w:val="0"/>
                <w:iCs w:val="0"/>
                <w:color w:val="auto"/>
                <w:kern w:val="0"/>
                <w:sz w:val="20"/>
                <w:szCs w:val="20"/>
                <w:u w:val="none"/>
                <w:lang w:val="en-US" w:eastAsia="zh-CN" w:bidi="ar"/>
              </w:rPr>
              <w:t>年</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9E3FF2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按合同预付</w:t>
            </w:r>
          </w:p>
        </w:tc>
      </w:tr>
      <w:tr w14:paraId="4ACC7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34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B526C06">
            <w:pPr>
              <w:keepNext w:val="0"/>
              <w:keepLines w:val="0"/>
              <w:widowControl/>
              <w:suppressLineNumbers w:val="0"/>
              <w:jc w:val="lef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北京市天理律师事务所</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74A1D9C">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 570,000.00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F3D56BE">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10.35%</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0618E6B0">
            <w:pPr>
              <w:keepNext w:val="0"/>
              <w:keepLines w:val="0"/>
              <w:widowControl/>
              <w:suppressLineNumbers w:val="0"/>
              <w:jc w:val="center"/>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3</w:t>
            </w:r>
            <w:r>
              <w:rPr>
                <w:rFonts w:hint="eastAsia" w:ascii="宋体" w:hAnsi="宋体" w:eastAsia="宋体" w:cs="宋体"/>
                <w:i w:val="0"/>
                <w:iCs w:val="0"/>
                <w:color w:val="auto"/>
                <w:kern w:val="0"/>
                <w:sz w:val="20"/>
                <w:szCs w:val="20"/>
                <w:u w:val="none"/>
                <w:lang w:val="en-US" w:eastAsia="zh-CN" w:bidi="ar"/>
              </w:rPr>
              <w:t>年以上</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69FEBC1">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按合同预付</w:t>
            </w:r>
          </w:p>
        </w:tc>
      </w:tr>
      <w:tr w14:paraId="295B8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34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9B4717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福建瑞泰来医药科技有限公司</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DEA9EC4">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 400,000.00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940F566">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7.27%</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1A153AF">
            <w:pPr>
              <w:keepNext w:val="0"/>
              <w:keepLines w:val="0"/>
              <w:widowControl/>
              <w:suppressLineNumbers w:val="0"/>
              <w:jc w:val="center"/>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w:t>
            </w:r>
            <w:r>
              <w:rPr>
                <w:rFonts w:hint="eastAsia" w:ascii="宋体" w:hAnsi="宋体" w:eastAsia="宋体" w:cs="宋体"/>
                <w:i w:val="0"/>
                <w:iCs w:val="0"/>
                <w:color w:val="auto"/>
                <w:kern w:val="0"/>
                <w:sz w:val="20"/>
                <w:szCs w:val="20"/>
                <w:u w:val="none"/>
                <w:lang w:val="en-US" w:eastAsia="zh-CN" w:bidi="ar"/>
              </w:rPr>
              <w:t>年内</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68B80C0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按合同预付</w:t>
            </w:r>
          </w:p>
        </w:tc>
      </w:tr>
      <w:tr w14:paraId="1791B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34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FD65B8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石家庄鑫富达医药包装有限公司</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169F01B">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 170,750.00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2DF0EE76">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3.10%</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8EE55DC">
            <w:pPr>
              <w:keepNext w:val="0"/>
              <w:keepLines w:val="0"/>
              <w:widowControl/>
              <w:suppressLineNumbers w:val="0"/>
              <w:jc w:val="center"/>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3年以上</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BADA1FC">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按合同预付</w:t>
            </w:r>
          </w:p>
        </w:tc>
      </w:tr>
      <w:tr w14:paraId="18DF8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1" w:hRule="atLeast"/>
        </w:trPr>
        <w:tc>
          <w:tcPr>
            <w:tcW w:w="349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4B4F54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福安药业集团重庆博圣制药有限公司</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E6C77E0">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 158,792.31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6AB779B">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2.88%</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1E3D753">
            <w:pPr>
              <w:keepNext w:val="0"/>
              <w:keepLines w:val="0"/>
              <w:widowControl/>
              <w:suppressLineNumbers w:val="0"/>
              <w:jc w:val="center"/>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1</w:t>
            </w:r>
            <w:r>
              <w:rPr>
                <w:rFonts w:hint="eastAsia" w:ascii="宋体" w:hAnsi="宋体" w:eastAsia="宋体" w:cs="宋体"/>
                <w:i w:val="0"/>
                <w:iCs w:val="0"/>
                <w:color w:val="auto"/>
                <w:kern w:val="0"/>
                <w:sz w:val="20"/>
                <w:szCs w:val="20"/>
                <w:u w:val="none"/>
                <w:lang w:val="en-US" w:eastAsia="zh-CN" w:bidi="ar"/>
              </w:rPr>
              <w:t>年内</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D5A87E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按合同预付</w:t>
            </w:r>
          </w:p>
        </w:tc>
      </w:tr>
      <w:tr w14:paraId="0D192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349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9E67461">
            <w:pPr>
              <w:keepNext w:val="0"/>
              <w:keepLines w:val="0"/>
              <w:widowControl/>
              <w:suppressLineNumbers w:val="0"/>
              <w:jc w:val="left"/>
              <w:textAlignment w:val="center"/>
              <w:rPr>
                <w:rFonts w:hint="default" w:ascii="Times New Roman" w:hAnsi="Times New Roman" w:cs="Times New Roman"/>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合计</w:t>
            </w:r>
          </w:p>
        </w:tc>
        <w:tc>
          <w:tcPr>
            <w:tcW w:w="15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14CF7CE">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 3,666,281.31 </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49C091D">
            <w:pPr>
              <w:keepNext w:val="0"/>
              <w:keepLines w:val="0"/>
              <w:widowControl/>
              <w:suppressLineNumbers w:val="0"/>
              <w:jc w:val="righ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66.59%</w:t>
            </w:r>
          </w:p>
        </w:tc>
        <w:tc>
          <w:tcPr>
            <w:tcW w:w="172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13A3EB75">
            <w:pPr>
              <w:keepNext w:val="0"/>
              <w:keepLines w:val="0"/>
              <w:widowControl/>
              <w:suppressLineNumbers w:val="0"/>
              <w:jc w:val="lef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 </w:t>
            </w:r>
          </w:p>
        </w:tc>
        <w:tc>
          <w:tcPr>
            <w:tcW w:w="114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4EACF052">
            <w:pPr>
              <w:keepNext w:val="0"/>
              <w:keepLines w:val="0"/>
              <w:widowControl/>
              <w:suppressLineNumbers w:val="0"/>
              <w:jc w:val="left"/>
              <w:textAlignment w:val="center"/>
              <w:rPr>
                <w:rFonts w:hint="default" w:ascii="Times New Roman" w:hAnsi="Times New Roman" w:cs="Times New Roman"/>
                <w:i w:val="0"/>
                <w:iCs w:val="0"/>
                <w:color w:val="auto"/>
                <w:sz w:val="20"/>
                <w:szCs w:val="20"/>
                <w:u w:val="none"/>
              </w:rPr>
            </w:pPr>
            <w:r>
              <w:rPr>
                <w:rFonts w:hint="default" w:ascii="Times New Roman" w:hAnsi="Times New Roman" w:eastAsia="宋体" w:cs="Times New Roman"/>
                <w:i w:val="0"/>
                <w:iCs w:val="0"/>
                <w:color w:val="auto"/>
                <w:kern w:val="0"/>
                <w:sz w:val="20"/>
                <w:szCs w:val="20"/>
                <w:u w:val="none"/>
                <w:lang w:val="en-US" w:eastAsia="zh-CN" w:bidi="ar"/>
              </w:rPr>
              <w:t> </w:t>
            </w:r>
          </w:p>
        </w:tc>
      </w:tr>
    </w:tbl>
    <w:p w14:paraId="70E62E9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B8F637E">
      <w:pPr>
        <w:keepNext/>
        <w:keepLines/>
        <w:spacing w:before="300" w:after="300" w:line="280" w:lineRule="exact"/>
        <w:jc w:val="left"/>
        <w:outlineLvl w:val="2"/>
        <w:rPr>
          <w:rFonts w:ascii="宋体" w:hAnsi="宋体" w:eastAsia="宋体" w:cs="宋体"/>
          <w:b/>
          <w:bCs/>
          <w:color w:val="auto"/>
          <w:sz w:val="21"/>
          <w:szCs w:val="21"/>
        </w:rPr>
      </w:pPr>
      <w:bookmarkStart w:id="133" w:name="_Toc989109"/>
      <w:r>
        <w:rPr>
          <w:rFonts w:ascii="宋体" w:hAnsi="宋体" w:eastAsia="宋体" w:cs="宋体"/>
          <w:b/>
          <w:bCs/>
          <w:color w:val="auto"/>
          <w:sz w:val="21"/>
          <w:szCs w:val="21"/>
        </w:rPr>
        <w:t>10、存货</w:t>
      </w:r>
      <w:bookmarkEnd w:id="133"/>
    </w:p>
    <w:p w14:paraId="18BFF5D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公司是否需要遵守房地产行业的披露要求</w:t>
      </w:r>
    </w:p>
    <w:p w14:paraId="07307D6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否</w:t>
      </w:r>
    </w:p>
    <w:p w14:paraId="22F96256">
      <w:pPr>
        <w:keepNext/>
        <w:keepLines/>
        <w:spacing w:before="300" w:after="300" w:line="280" w:lineRule="exact"/>
        <w:jc w:val="left"/>
        <w:outlineLvl w:val="3"/>
        <w:rPr>
          <w:rFonts w:ascii="宋体" w:hAnsi="宋体" w:eastAsia="宋体" w:cs="宋体"/>
          <w:b/>
          <w:bCs/>
          <w:color w:val="auto"/>
          <w:sz w:val="21"/>
          <w:szCs w:val="21"/>
        </w:rPr>
      </w:pPr>
      <w:bookmarkStart w:id="134" w:name="_Toc989110"/>
      <w:r>
        <w:rPr>
          <w:rFonts w:ascii="宋体" w:hAnsi="宋体" w:eastAsia="宋体" w:cs="宋体"/>
          <w:b/>
          <w:bCs/>
          <w:color w:val="auto"/>
          <w:sz w:val="21"/>
          <w:szCs w:val="21"/>
        </w:rPr>
        <w:t>（1）存货分类</w:t>
      </w:r>
      <w:bookmarkEnd w:id="134"/>
    </w:p>
    <w:p w14:paraId="27B7A54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6EA86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468EBE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2A3F2D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00BE47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0B4091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60EE4AA">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99E1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5260FE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存货跌价准备或合同履约成本减值准备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DDD81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FCF7BC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42CC4E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存货跌价准备或合同履约成本减值准备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D09F36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732B35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58C311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原材料</w:t>
            </w:r>
          </w:p>
        </w:tc>
        <w:tc>
          <w:tcPr>
            <w:tcW w:w="1377" w:type="dxa"/>
            <w:tcBorders>
              <w:top w:val="single" w:color="auto" w:sz="2" w:space="0"/>
              <w:left w:val="single" w:color="auto" w:sz="2" w:space="0"/>
              <w:bottom w:val="single" w:color="auto" w:sz="2" w:space="0"/>
              <w:right w:val="single" w:color="auto" w:sz="2" w:space="0"/>
            </w:tcBorders>
            <w:vAlign w:val="center"/>
          </w:tcPr>
          <w:p w14:paraId="54E249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18,856,263.18</w:t>
            </w:r>
          </w:p>
        </w:tc>
        <w:tc>
          <w:tcPr>
            <w:tcW w:w="1377" w:type="dxa"/>
            <w:tcBorders>
              <w:top w:val="single" w:color="auto" w:sz="2" w:space="0"/>
              <w:left w:val="single" w:color="auto" w:sz="2" w:space="0"/>
              <w:bottom w:val="single" w:color="auto" w:sz="2" w:space="0"/>
              <w:right w:val="single" w:color="auto" w:sz="2" w:space="0"/>
            </w:tcBorders>
            <w:vAlign w:val="center"/>
          </w:tcPr>
          <w:p w14:paraId="37FEE2E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216,178.40</w:t>
            </w:r>
          </w:p>
        </w:tc>
        <w:tc>
          <w:tcPr>
            <w:tcW w:w="1377" w:type="dxa"/>
            <w:tcBorders>
              <w:top w:val="single" w:color="auto" w:sz="2" w:space="0"/>
              <w:left w:val="single" w:color="auto" w:sz="2" w:space="0"/>
              <w:bottom w:val="single" w:color="auto" w:sz="2" w:space="0"/>
              <w:right w:val="single" w:color="auto" w:sz="2" w:space="0"/>
            </w:tcBorders>
            <w:vAlign w:val="center"/>
          </w:tcPr>
          <w:p w14:paraId="2791FAD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18,640,084.78</w:t>
            </w:r>
          </w:p>
        </w:tc>
        <w:tc>
          <w:tcPr>
            <w:tcW w:w="1377" w:type="dxa"/>
            <w:tcBorders>
              <w:top w:val="single" w:color="auto" w:sz="2" w:space="0"/>
              <w:left w:val="single" w:color="auto" w:sz="2" w:space="0"/>
              <w:bottom w:val="single" w:color="auto" w:sz="2" w:space="0"/>
              <w:right w:val="single" w:color="auto" w:sz="2" w:space="0"/>
            </w:tcBorders>
            <w:vAlign w:val="center"/>
          </w:tcPr>
          <w:p w14:paraId="1508543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16,648,511.30</w:t>
            </w:r>
          </w:p>
        </w:tc>
        <w:tc>
          <w:tcPr>
            <w:tcW w:w="1377" w:type="dxa"/>
            <w:tcBorders>
              <w:top w:val="single" w:color="auto" w:sz="2" w:space="0"/>
              <w:left w:val="single" w:color="auto" w:sz="2" w:space="0"/>
              <w:bottom w:val="single" w:color="auto" w:sz="2" w:space="0"/>
              <w:right w:val="single" w:color="auto" w:sz="2" w:space="0"/>
            </w:tcBorders>
            <w:vAlign w:val="center"/>
          </w:tcPr>
          <w:p w14:paraId="6872EE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333,256.49</w:t>
            </w:r>
          </w:p>
        </w:tc>
        <w:tc>
          <w:tcPr>
            <w:tcW w:w="1377" w:type="dxa"/>
            <w:tcBorders>
              <w:top w:val="single" w:color="auto" w:sz="2" w:space="0"/>
              <w:left w:val="single" w:color="auto" w:sz="2" w:space="0"/>
              <w:bottom w:val="single" w:color="auto" w:sz="2" w:space="0"/>
              <w:right w:val="single" w:color="auto" w:sz="2" w:space="0"/>
            </w:tcBorders>
            <w:vAlign w:val="center"/>
          </w:tcPr>
          <w:p w14:paraId="3998F13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16,315,254.81</w:t>
            </w:r>
          </w:p>
        </w:tc>
      </w:tr>
      <w:tr w14:paraId="1734F1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C1C978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在产品</w:t>
            </w:r>
          </w:p>
        </w:tc>
        <w:tc>
          <w:tcPr>
            <w:tcW w:w="1377" w:type="dxa"/>
            <w:tcBorders>
              <w:top w:val="single" w:color="auto" w:sz="2" w:space="0"/>
              <w:left w:val="single" w:color="auto" w:sz="2" w:space="0"/>
              <w:bottom w:val="single" w:color="auto" w:sz="2" w:space="0"/>
              <w:right w:val="single" w:color="auto" w:sz="2" w:space="0"/>
            </w:tcBorders>
            <w:vAlign w:val="center"/>
          </w:tcPr>
          <w:p w14:paraId="53B4111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16,986,393.40</w:t>
            </w:r>
          </w:p>
        </w:tc>
        <w:tc>
          <w:tcPr>
            <w:tcW w:w="1377" w:type="dxa"/>
            <w:tcBorders>
              <w:top w:val="single" w:color="auto" w:sz="2" w:space="0"/>
              <w:left w:val="single" w:color="auto" w:sz="2" w:space="0"/>
              <w:bottom w:val="single" w:color="auto" w:sz="2" w:space="0"/>
              <w:right w:val="single" w:color="auto" w:sz="2" w:space="0"/>
            </w:tcBorders>
            <w:vAlign w:val="center"/>
          </w:tcPr>
          <w:p w14:paraId="2475BF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71,545.61</w:t>
            </w:r>
          </w:p>
        </w:tc>
        <w:tc>
          <w:tcPr>
            <w:tcW w:w="1377" w:type="dxa"/>
            <w:tcBorders>
              <w:top w:val="single" w:color="auto" w:sz="2" w:space="0"/>
              <w:left w:val="single" w:color="auto" w:sz="2" w:space="0"/>
              <w:bottom w:val="single" w:color="auto" w:sz="2" w:space="0"/>
              <w:right w:val="single" w:color="auto" w:sz="2" w:space="0"/>
            </w:tcBorders>
            <w:vAlign w:val="center"/>
          </w:tcPr>
          <w:p w14:paraId="4238C8F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16,914,847.79</w:t>
            </w:r>
          </w:p>
        </w:tc>
        <w:tc>
          <w:tcPr>
            <w:tcW w:w="1377" w:type="dxa"/>
            <w:tcBorders>
              <w:top w:val="single" w:color="auto" w:sz="2" w:space="0"/>
              <w:left w:val="single" w:color="auto" w:sz="2" w:space="0"/>
              <w:bottom w:val="single" w:color="auto" w:sz="2" w:space="0"/>
              <w:right w:val="single" w:color="auto" w:sz="2" w:space="0"/>
            </w:tcBorders>
            <w:vAlign w:val="center"/>
          </w:tcPr>
          <w:p w14:paraId="611390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16,818,491.99</w:t>
            </w:r>
          </w:p>
        </w:tc>
        <w:tc>
          <w:tcPr>
            <w:tcW w:w="1377" w:type="dxa"/>
            <w:tcBorders>
              <w:top w:val="single" w:color="auto" w:sz="2" w:space="0"/>
              <w:left w:val="single" w:color="auto" w:sz="2" w:space="0"/>
              <w:bottom w:val="single" w:color="auto" w:sz="2" w:space="0"/>
              <w:right w:val="single" w:color="auto" w:sz="2" w:space="0"/>
            </w:tcBorders>
            <w:vAlign w:val="center"/>
          </w:tcPr>
          <w:p w14:paraId="12476F1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27,368.07</w:t>
            </w:r>
          </w:p>
        </w:tc>
        <w:tc>
          <w:tcPr>
            <w:tcW w:w="1377" w:type="dxa"/>
            <w:tcBorders>
              <w:top w:val="single" w:color="auto" w:sz="2" w:space="0"/>
              <w:left w:val="single" w:color="auto" w:sz="2" w:space="0"/>
              <w:bottom w:val="single" w:color="auto" w:sz="2" w:space="0"/>
              <w:right w:val="single" w:color="auto" w:sz="2" w:space="0"/>
            </w:tcBorders>
            <w:vAlign w:val="center"/>
          </w:tcPr>
          <w:p w14:paraId="5AC0A7E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16,791,123.92</w:t>
            </w:r>
          </w:p>
        </w:tc>
      </w:tr>
      <w:tr w14:paraId="6C76C3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2AED22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库存商品</w:t>
            </w:r>
          </w:p>
        </w:tc>
        <w:tc>
          <w:tcPr>
            <w:tcW w:w="1377" w:type="dxa"/>
            <w:tcBorders>
              <w:top w:val="single" w:color="auto" w:sz="2" w:space="0"/>
              <w:left w:val="single" w:color="auto" w:sz="2" w:space="0"/>
              <w:bottom w:val="single" w:color="auto" w:sz="2" w:space="0"/>
              <w:right w:val="single" w:color="auto" w:sz="2" w:space="0"/>
            </w:tcBorders>
            <w:vAlign w:val="center"/>
          </w:tcPr>
          <w:p w14:paraId="7E5A581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22,084,687.88</w:t>
            </w:r>
          </w:p>
        </w:tc>
        <w:tc>
          <w:tcPr>
            <w:tcW w:w="1377" w:type="dxa"/>
            <w:tcBorders>
              <w:top w:val="single" w:color="auto" w:sz="2" w:space="0"/>
              <w:left w:val="single" w:color="auto" w:sz="2" w:space="0"/>
              <w:bottom w:val="single" w:color="auto" w:sz="2" w:space="0"/>
              <w:right w:val="single" w:color="auto" w:sz="2" w:space="0"/>
            </w:tcBorders>
            <w:vAlign w:val="center"/>
          </w:tcPr>
          <w:p w14:paraId="72CAB3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5,388,127.05</w:t>
            </w:r>
          </w:p>
        </w:tc>
        <w:tc>
          <w:tcPr>
            <w:tcW w:w="1377" w:type="dxa"/>
            <w:tcBorders>
              <w:top w:val="single" w:color="auto" w:sz="2" w:space="0"/>
              <w:left w:val="single" w:color="auto" w:sz="2" w:space="0"/>
              <w:bottom w:val="single" w:color="auto" w:sz="2" w:space="0"/>
              <w:right w:val="single" w:color="auto" w:sz="2" w:space="0"/>
            </w:tcBorders>
            <w:vAlign w:val="center"/>
          </w:tcPr>
          <w:p w14:paraId="28CDDD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16,696,560.83</w:t>
            </w:r>
          </w:p>
        </w:tc>
        <w:tc>
          <w:tcPr>
            <w:tcW w:w="1377" w:type="dxa"/>
            <w:tcBorders>
              <w:top w:val="single" w:color="auto" w:sz="2" w:space="0"/>
              <w:left w:val="single" w:color="auto" w:sz="2" w:space="0"/>
              <w:bottom w:val="single" w:color="auto" w:sz="2" w:space="0"/>
              <w:right w:val="single" w:color="auto" w:sz="2" w:space="0"/>
            </w:tcBorders>
            <w:vAlign w:val="center"/>
          </w:tcPr>
          <w:p w14:paraId="5453CD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54,604,239.45</w:t>
            </w:r>
          </w:p>
        </w:tc>
        <w:tc>
          <w:tcPr>
            <w:tcW w:w="1377" w:type="dxa"/>
            <w:tcBorders>
              <w:top w:val="single" w:color="auto" w:sz="2" w:space="0"/>
              <w:left w:val="single" w:color="auto" w:sz="2" w:space="0"/>
              <w:bottom w:val="single" w:color="auto" w:sz="2" w:space="0"/>
              <w:right w:val="single" w:color="auto" w:sz="2" w:space="0"/>
            </w:tcBorders>
            <w:vAlign w:val="center"/>
          </w:tcPr>
          <w:p w14:paraId="651FD32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32,987,863.92</w:t>
            </w:r>
          </w:p>
        </w:tc>
        <w:tc>
          <w:tcPr>
            <w:tcW w:w="1377" w:type="dxa"/>
            <w:tcBorders>
              <w:top w:val="single" w:color="auto" w:sz="2" w:space="0"/>
              <w:left w:val="single" w:color="auto" w:sz="2" w:space="0"/>
              <w:bottom w:val="single" w:color="auto" w:sz="2" w:space="0"/>
              <w:right w:val="single" w:color="auto" w:sz="2" w:space="0"/>
            </w:tcBorders>
            <w:vAlign w:val="center"/>
          </w:tcPr>
          <w:p w14:paraId="666FC4A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21,616,375.53</w:t>
            </w:r>
          </w:p>
        </w:tc>
      </w:tr>
      <w:tr w14:paraId="33BC95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489BBE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发出商品</w:t>
            </w:r>
          </w:p>
        </w:tc>
        <w:tc>
          <w:tcPr>
            <w:tcW w:w="1377" w:type="dxa"/>
            <w:tcBorders>
              <w:top w:val="single" w:color="auto" w:sz="2" w:space="0"/>
              <w:left w:val="single" w:color="auto" w:sz="2" w:space="0"/>
              <w:bottom w:val="single" w:color="auto" w:sz="2" w:space="0"/>
              <w:right w:val="single" w:color="auto" w:sz="2" w:space="0"/>
            </w:tcBorders>
            <w:vAlign w:val="center"/>
          </w:tcPr>
          <w:p w14:paraId="0ADBB3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3,404,527.75</w:t>
            </w:r>
          </w:p>
        </w:tc>
        <w:tc>
          <w:tcPr>
            <w:tcW w:w="1377" w:type="dxa"/>
            <w:tcBorders>
              <w:top w:val="single" w:color="auto" w:sz="2" w:space="0"/>
              <w:left w:val="single" w:color="auto" w:sz="2" w:space="0"/>
              <w:bottom w:val="single" w:color="auto" w:sz="2" w:space="0"/>
              <w:right w:val="single" w:color="auto" w:sz="2" w:space="0"/>
            </w:tcBorders>
            <w:vAlign w:val="center"/>
          </w:tcPr>
          <w:p w14:paraId="0D2F9EC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83E57A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3,404,527.75</w:t>
            </w:r>
          </w:p>
        </w:tc>
        <w:tc>
          <w:tcPr>
            <w:tcW w:w="1377" w:type="dxa"/>
            <w:tcBorders>
              <w:top w:val="single" w:color="auto" w:sz="2" w:space="0"/>
              <w:left w:val="single" w:color="auto" w:sz="2" w:space="0"/>
              <w:bottom w:val="single" w:color="auto" w:sz="2" w:space="0"/>
              <w:right w:val="single" w:color="auto" w:sz="2" w:space="0"/>
            </w:tcBorders>
            <w:vAlign w:val="center"/>
          </w:tcPr>
          <w:p w14:paraId="1D3D92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739,774.21</w:t>
            </w:r>
          </w:p>
        </w:tc>
        <w:tc>
          <w:tcPr>
            <w:tcW w:w="1377" w:type="dxa"/>
            <w:tcBorders>
              <w:top w:val="single" w:color="auto" w:sz="2" w:space="0"/>
              <w:left w:val="single" w:color="auto" w:sz="2" w:space="0"/>
              <w:bottom w:val="single" w:color="auto" w:sz="2" w:space="0"/>
              <w:right w:val="single" w:color="auto" w:sz="2" w:space="0"/>
            </w:tcBorders>
            <w:vAlign w:val="center"/>
          </w:tcPr>
          <w:p w14:paraId="2703B98C">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291F4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739,774.21</w:t>
            </w:r>
          </w:p>
        </w:tc>
      </w:tr>
      <w:tr w14:paraId="2DE4C8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997F7A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周转材料</w:t>
            </w:r>
          </w:p>
        </w:tc>
        <w:tc>
          <w:tcPr>
            <w:tcW w:w="1377" w:type="dxa"/>
            <w:tcBorders>
              <w:top w:val="single" w:color="auto" w:sz="2" w:space="0"/>
              <w:left w:val="single" w:color="auto" w:sz="2" w:space="0"/>
              <w:bottom w:val="single" w:color="auto" w:sz="2" w:space="0"/>
              <w:right w:val="single" w:color="auto" w:sz="2" w:space="0"/>
            </w:tcBorders>
            <w:vAlign w:val="center"/>
          </w:tcPr>
          <w:p w14:paraId="0A0F1F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5,496,703.18</w:t>
            </w:r>
          </w:p>
        </w:tc>
        <w:tc>
          <w:tcPr>
            <w:tcW w:w="1377" w:type="dxa"/>
            <w:tcBorders>
              <w:top w:val="single" w:color="auto" w:sz="2" w:space="0"/>
              <w:left w:val="single" w:color="auto" w:sz="2" w:space="0"/>
              <w:bottom w:val="single" w:color="auto" w:sz="2" w:space="0"/>
              <w:right w:val="single" w:color="auto" w:sz="2" w:space="0"/>
            </w:tcBorders>
            <w:vAlign w:val="center"/>
          </w:tcPr>
          <w:p w14:paraId="7C48DB1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FBBA5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5,496,703.18</w:t>
            </w:r>
          </w:p>
        </w:tc>
        <w:tc>
          <w:tcPr>
            <w:tcW w:w="1377" w:type="dxa"/>
            <w:tcBorders>
              <w:top w:val="single" w:color="auto" w:sz="2" w:space="0"/>
              <w:left w:val="single" w:color="auto" w:sz="2" w:space="0"/>
              <w:bottom w:val="single" w:color="auto" w:sz="2" w:space="0"/>
              <w:right w:val="single" w:color="auto" w:sz="2" w:space="0"/>
            </w:tcBorders>
            <w:vAlign w:val="center"/>
          </w:tcPr>
          <w:p w14:paraId="3431A8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5,041,630.53</w:t>
            </w:r>
          </w:p>
        </w:tc>
        <w:tc>
          <w:tcPr>
            <w:tcW w:w="1377" w:type="dxa"/>
            <w:tcBorders>
              <w:top w:val="single" w:color="auto" w:sz="2" w:space="0"/>
              <w:left w:val="single" w:color="auto" w:sz="2" w:space="0"/>
              <w:bottom w:val="single" w:color="auto" w:sz="2" w:space="0"/>
              <w:right w:val="single" w:color="auto" w:sz="2" w:space="0"/>
            </w:tcBorders>
            <w:vAlign w:val="center"/>
          </w:tcPr>
          <w:p w14:paraId="5D014A2D">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1026FD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5,041,630.53</w:t>
            </w:r>
          </w:p>
        </w:tc>
      </w:tr>
      <w:tr w14:paraId="526FC6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278191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半成品</w:t>
            </w:r>
          </w:p>
        </w:tc>
        <w:tc>
          <w:tcPr>
            <w:tcW w:w="1377" w:type="dxa"/>
            <w:tcBorders>
              <w:top w:val="single" w:color="auto" w:sz="2" w:space="0"/>
              <w:left w:val="single" w:color="auto" w:sz="2" w:space="0"/>
              <w:bottom w:val="single" w:color="auto" w:sz="2" w:space="0"/>
              <w:right w:val="single" w:color="auto" w:sz="2" w:space="0"/>
            </w:tcBorders>
            <w:vAlign w:val="center"/>
          </w:tcPr>
          <w:p w14:paraId="3F0424A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79,786,184.41</w:t>
            </w:r>
          </w:p>
        </w:tc>
        <w:tc>
          <w:tcPr>
            <w:tcW w:w="1377" w:type="dxa"/>
            <w:tcBorders>
              <w:top w:val="single" w:color="auto" w:sz="2" w:space="0"/>
              <w:left w:val="single" w:color="auto" w:sz="2" w:space="0"/>
              <w:bottom w:val="single" w:color="auto" w:sz="2" w:space="0"/>
              <w:right w:val="single" w:color="auto" w:sz="2" w:space="0"/>
            </w:tcBorders>
            <w:vAlign w:val="center"/>
          </w:tcPr>
          <w:p w14:paraId="48CADDF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796,677.74</w:t>
            </w:r>
          </w:p>
        </w:tc>
        <w:tc>
          <w:tcPr>
            <w:tcW w:w="1377" w:type="dxa"/>
            <w:tcBorders>
              <w:top w:val="single" w:color="auto" w:sz="2" w:space="0"/>
              <w:left w:val="single" w:color="auto" w:sz="2" w:space="0"/>
              <w:bottom w:val="single" w:color="auto" w:sz="2" w:space="0"/>
              <w:right w:val="single" w:color="auto" w:sz="2" w:space="0"/>
            </w:tcBorders>
            <w:vAlign w:val="center"/>
          </w:tcPr>
          <w:p w14:paraId="5AACE60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78,989,506.67</w:t>
            </w:r>
          </w:p>
        </w:tc>
        <w:tc>
          <w:tcPr>
            <w:tcW w:w="1377" w:type="dxa"/>
            <w:tcBorders>
              <w:top w:val="single" w:color="auto" w:sz="2" w:space="0"/>
              <w:left w:val="single" w:color="auto" w:sz="2" w:space="0"/>
              <w:bottom w:val="single" w:color="auto" w:sz="2" w:space="0"/>
              <w:right w:val="single" w:color="auto" w:sz="2" w:space="0"/>
            </w:tcBorders>
            <w:vAlign w:val="center"/>
          </w:tcPr>
          <w:p w14:paraId="70B9F5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13,164,942.90</w:t>
            </w:r>
          </w:p>
        </w:tc>
        <w:tc>
          <w:tcPr>
            <w:tcW w:w="1377" w:type="dxa"/>
            <w:tcBorders>
              <w:top w:val="single" w:color="auto" w:sz="2" w:space="0"/>
              <w:left w:val="single" w:color="auto" w:sz="2" w:space="0"/>
              <w:bottom w:val="single" w:color="auto" w:sz="2" w:space="0"/>
              <w:right w:val="single" w:color="auto" w:sz="2" w:space="0"/>
            </w:tcBorders>
            <w:vAlign w:val="center"/>
          </w:tcPr>
          <w:p w14:paraId="1974807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69,855.13</w:t>
            </w:r>
          </w:p>
        </w:tc>
        <w:tc>
          <w:tcPr>
            <w:tcW w:w="1377" w:type="dxa"/>
            <w:tcBorders>
              <w:top w:val="single" w:color="auto" w:sz="2" w:space="0"/>
              <w:left w:val="single" w:color="auto" w:sz="2" w:space="0"/>
              <w:bottom w:val="single" w:color="auto" w:sz="2" w:space="0"/>
              <w:right w:val="single" w:color="auto" w:sz="2" w:space="0"/>
            </w:tcBorders>
            <w:vAlign w:val="center"/>
          </w:tcPr>
          <w:p w14:paraId="6078B3D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13,095,087.77</w:t>
            </w:r>
          </w:p>
        </w:tc>
      </w:tr>
      <w:tr w14:paraId="14B323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A318CF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在途物资</w:t>
            </w:r>
          </w:p>
        </w:tc>
        <w:tc>
          <w:tcPr>
            <w:tcW w:w="1377" w:type="dxa"/>
            <w:tcBorders>
              <w:top w:val="single" w:color="auto" w:sz="2" w:space="0"/>
              <w:left w:val="single" w:color="auto" w:sz="2" w:space="0"/>
              <w:bottom w:val="single" w:color="auto" w:sz="2" w:space="0"/>
              <w:right w:val="single" w:color="auto" w:sz="2" w:space="0"/>
            </w:tcBorders>
            <w:vAlign w:val="center"/>
          </w:tcPr>
          <w:p w14:paraId="7A5839C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4,485,879.39</w:t>
            </w:r>
          </w:p>
        </w:tc>
        <w:tc>
          <w:tcPr>
            <w:tcW w:w="1377" w:type="dxa"/>
            <w:tcBorders>
              <w:top w:val="single" w:color="auto" w:sz="2" w:space="0"/>
              <w:left w:val="single" w:color="auto" w:sz="2" w:space="0"/>
              <w:bottom w:val="single" w:color="auto" w:sz="2" w:space="0"/>
              <w:right w:val="single" w:color="auto" w:sz="2" w:space="0"/>
            </w:tcBorders>
            <w:vAlign w:val="center"/>
          </w:tcPr>
          <w:p w14:paraId="2532A63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8D984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4,485,879.39</w:t>
            </w:r>
          </w:p>
        </w:tc>
        <w:tc>
          <w:tcPr>
            <w:tcW w:w="1377" w:type="dxa"/>
            <w:tcBorders>
              <w:top w:val="single" w:color="auto" w:sz="2" w:space="0"/>
              <w:left w:val="single" w:color="auto" w:sz="2" w:space="0"/>
              <w:bottom w:val="single" w:color="auto" w:sz="2" w:space="0"/>
              <w:right w:val="single" w:color="auto" w:sz="2" w:space="0"/>
            </w:tcBorders>
            <w:vAlign w:val="center"/>
          </w:tcPr>
          <w:p w14:paraId="0DCC7A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36,822,798.07</w:t>
            </w:r>
          </w:p>
        </w:tc>
        <w:tc>
          <w:tcPr>
            <w:tcW w:w="1377" w:type="dxa"/>
            <w:tcBorders>
              <w:top w:val="single" w:color="auto" w:sz="2" w:space="0"/>
              <w:left w:val="single" w:color="auto" w:sz="2" w:space="0"/>
              <w:bottom w:val="single" w:color="auto" w:sz="2" w:space="0"/>
              <w:right w:val="single" w:color="auto" w:sz="2" w:space="0"/>
            </w:tcBorders>
            <w:vAlign w:val="center"/>
          </w:tcPr>
          <w:p w14:paraId="329D838D">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CB412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36,822,798.07</w:t>
            </w:r>
          </w:p>
        </w:tc>
      </w:tr>
      <w:tr w14:paraId="41DFB3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7249E1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服务成本</w:t>
            </w:r>
          </w:p>
        </w:tc>
        <w:tc>
          <w:tcPr>
            <w:tcW w:w="1377" w:type="dxa"/>
            <w:tcBorders>
              <w:top w:val="single" w:color="auto" w:sz="2" w:space="0"/>
              <w:left w:val="single" w:color="auto" w:sz="2" w:space="0"/>
              <w:bottom w:val="single" w:color="auto" w:sz="2" w:space="0"/>
              <w:right w:val="single" w:color="auto" w:sz="2" w:space="0"/>
            </w:tcBorders>
            <w:vAlign w:val="center"/>
          </w:tcPr>
          <w:p w14:paraId="49902B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2,472,125.44</w:t>
            </w:r>
          </w:p>
        </w:tc>
        <w:tc>
          <w:tcPr>
            <w:tcW w:w="1377" w:type="dxa"/>
            <w:tcBorders>
              <w:top w:val="single" w:color="auto" w:sz="2" w:space="0"/>
              <w:left w:val="single" w:color="auto" w:sz="2" w:space="0"/>
              <w:bottom w:val="single" w:color="auto" w:sz="2" w:space="0"/>
              <w:right w:val="single" w:color="auto" w:sz="2" w:space="0"/>
            </w:tcBorders>
            <w:vAlign w:val="center"/>
          </w:tcPr>
          <w:p w14:paraId="07EE498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B32FD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2,472,125.44</w:t>
            </w:r>
          </w:p>
        </w:tc>
        <w:tc>
          <w:tcPr>
            <w:tcW w:w="1377" w:type="dxa"/>
            <w:tcBorders>
              <w:top w:val="single" w:color="auto" w:sz="2" w:space="0"/>
              <w:left w:val="single" w:color="auto" w:sz="2" w:space="0"/>
              <w:bottom w:val="single" w:color="auto" w:sz="2" w:space="0"/>
              <w:right w:val="single" w:color="auto" w:sz="2" w:space="0"/>
            </w:tcBorders>
            <w:vAlign w:val="center"/>
          </w:tcPr>
          <w:p w14:paraId="108F76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776,240.53</w:t>
            </w:r>
          </w:p>
        </w:tc>
        <w:tc>
          <w:tcPr>
            <w:tcW w:w="1377" w:type="dxa"/>
            <w:tcBorders>
              <w:top w:val="single" w:color="auto" w:sz="2" w:space="0"/>
              <w:left w:val="single" w:color="auto" w:sz="2" w:space="0"/>
              <w:bottom w:val="single" w:color="auto" w:sz="2" w:space="0"/>
              <w:right w:val="single" w:color="auto" w:sz="2" w:space="0"/>
            </w:tcBorders>
            <w:vAlign w:val="center"/>
          </w:tcPr>
          <w:p w14:paraId="473A9103">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A4BB0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776,240.53</w:t>
            </w:r>
          </w:p>
        </w:tc>
      </w:tr>
      <w:tr w14:paraId="0F1F6E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F8C94E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委托加工物资</w:t>
            </w:r>
          </w:p>
        </w:tc>
        <w:tc>
          <w:tcPr>
            <w:tcW w:w="1377" w:type="dxa"/>
            <w:tcBorders>
              <w:top w:val="single" w:color="auto" w:sz="2" w:space="0"/>
              <w:left w:val="single" w:color="auto" w:sz="2" w:space="0"/>
              <w:bottom w:val="single" w:color="auto" w:sz="2" w:space="0"/>
              <w:right w:val="single" w:color="auto" w:sz="2" w:space="0"/>
            </w:tcBorders>
            <w:vAlign w:val="center"/>
          </w:tcPr>
          <w:p w14:paraId="440A7E2D">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586A79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77A9761">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058CC2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3,276,874.12</w:t>
            </w:r>
          </w:p>
        </w:tc>
        <w:tc>
          <w:tcPr>
            <w:tcW w:w="1377" w:type="dxa"/>
            <w:tcBorders>
              <w:top w:val="single" w:color="auto" w:sz="2" w:space="0"/>
              <w:left w:val="single" w:color="auto" w:sz="2" w:space="0"/>
              <w:bottom w:val="single" w:color="auto" w:sz="2" w:space="0"/>
              <w:right w:val="single" w:color="auto" w:sz="2" w:space="0"/>
            </w:tcBorders>
            <w:vAlign w:val="center"/>
          </w:tcPr>
          <w:p w14:paraId="540D29C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A80866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3,276,874.12</w:t>
            </w:r>
          </w:p>
        </w:tc>
      </w:tr>
      <w:tr w14:paraId="092F81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E140F3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16BC8C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153,572,764.63</w:t>
            </w:r>
          </w:p>
        </w:tc>
        <w:tc>
          <w:tcPr>
            <w:tcW w:w="1377" w:type="dxa"/>
            <w:tcBorders>
              <w:top w:val="single" w:color="auto" w:sz="2" w:space="0"/>
              <w:left w:val="single" w:color="auto" w:sz="2" w:space="0"/>
              <w:bottom w:val="single" w:color="auto" w:sz="2" w:space="0"/>
              <w:right w:val="single" w:color="auto" w:sz="2" w:space="0"/>
            </w:tcBorders>
            <w:vAlign w:val="center"/>
          </w:tcPr>
          <w:p w14:paraId="585F179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6,472,528.80</w:t>
            </w:r>
          </w:p>
        </w:tc>
        <w:tc>
          <w:tcPr>
            <w:tcW w:w="1377" w:type="dxa"/>
            <w:tcBorders>
              <w:top w:val="single" w:color="auto" w:sz="2" w:space="0"/>
              <w:left w:val="single" w:color="auto" w:sz="2" w:space="0"/>
              <w:bottom w:val="single" w:color="auto" w:sz="2" w:space="0"/>
              <w:right w:val="single" w:color="auto" w:sz="2" w:space="0"/>
            </w:tcBorders>
            <w:vAlign w:val="center"/>
          </w:tcPr>
          <w:p w14:paraId="4EF8E9D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147,100,235.83</w:t>
            </w:r>
          </w:p>
        </w:tc>
        <w:tc>
          <w:tcPr>
            <w:tcW w:w="1377" w:type="dxa"/>
            <w:tcBorders>
              <w:top w:val="single" w:color="auto" w:sz="2" w:space="0"/>
              <w:left w:val="single" w:color="auto" w:sz="2" w:space="0"/>
              <w:bottom w:val="single" w:color="auto" w:sz="2" w:space="0"/>
              <w:right w:val="single" w:color="auto" w:sz="2" w:space="0"/>
            </w:tcBorders>
            <w:vAlign w:val="center"/>
          </w:tcPr>
          <w:p w14:paraId="3694ACC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147,893,503.10</w:t>
            </w:r>
          </w:p>
        </w:tc>
        <w:tc>
          <w:tcPr>
            <w:tcW w:w="1377" w:type="dxa"/>
            <w:tcBorders>
              <w:top w:val="single" w:color="auto" w:sz="2" w:space="0"/>
              <w:left w:val="single" w:color="auto" w:sz="2" w:space="0"/>
              <w:bottom w:val="single" w:color="auto" w:sz="2" w:space="0"/>
              <w:right w:val="single" w:color="auto" w:sz="2" w:space="0"/>
            </w:tcBorders>
            <w:vAlign w:val="center"/>
          </w:tcPr>
          <w:p w14:paraId="6866813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33,418,343.61</w:t>
            </w:r>
          </w:p>
        </w:tc>
        <w:tc>
          <w:tcPr>
            <w:tcW w:w="1377" w:type="dxa"/>
            <w:tcBorders>
              <w:top w:val="single" w:color="auto" w:sz="2" w:space="0"/>
              <w:left w:val="single" w:color="auto" w:sz="2" w:space="0"/>
              <w:bottom w:val="single" w:color="auto" w:sz="2" w:space="0"/>
              <w:right w:val="single" w:color="auto" w:sz="2" w:space="0"/>
            </w:tcBorders>
            <w:vAlign w:val="center"/>
          </w:tcPr>
          <w:p w14:paraId="001260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114,475,159.49</w:t>
            </w:r>
          </w:p>
        </w:tc>
      </w:tr>
    </w:tbl>
    <w:p w14:paraId="189497D0">
      <w:pPr>
        <w:keepNext/>
        <w:keepLines/>
        <w:spacing w:before="300" w:after="300" w:line="280" w:lineRule="exact"/>
        <w:jc w:val="left"/>
        <w:outlineLvl w:val="3"/>
        <w:rPr>
          <w:rFonts w:ascii="宋体" w:hAnsi="宋体" w:eastAsia="宋体" w:cs="宋体"/>
          <w:b/>
          <w:bCs/>
          <w:color w:val="auto"/>
          <w:sz w:val="21"/>
          <w:szCs w:val="21"/>
        </w:rPr>
      </w:pPr>
      <w:bookmarkStart w:id="135" w:name="_Toc989111"/>
      <w:r>
        <w:rPr>
          <w:rFonts w:ascii="宋体" w:hAnsi="宋体" w:eastAsia="宋体" w:cs="宋体"/>
          <w:b/>
          <w:bCs/>
          <w:color w:val="auto"/>
          <w:sz w:val="21"/>
          <w:szCs w:val="21"/>
        </w:rPr>
        <w:t>（2）确认为存货的数据资源</w:t>
      </w:r>
      <w:bookmarkEnd w:id="135"/>
    </w:p>
    <w:p w14:paraId="6A1A7FF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4A811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952F1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49685D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外购的数据资源存货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F712C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自行加工的数据资源存货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C852BC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其他方式取得的数据资源存货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F14A38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bl>
    <w:p w14:paraId="20B12337">
      <w:pPr>
        <w:spacing w:before="100" w:after="100" w:line="0" w:lineRule="exact"/>
        <w:jc w:val="left"/>
        <w:rPr>
          <w:color w:val="auto"/>
        </w:rPr>
      </w:pPr>
    </w:p>
    <w:p w14:paraId="5FDB4E77">
      <w:pPr>
        <w:keepNext/>
        <w:keepLines/>
        <w:spacing w:before="300" w:after="300" w:line="280" w:lineRule="exact"/>
        <w:jc w:val="left"/>
        <w:outlineLvl w:val="3"/>
        <w:rPr>
          <w:rFonts w:ascii="宋体" w:hAnsi="宋体" w:eastAsia="宋体" w:cs="宋体"/>
          <w:b/>
          <w:bCs/>
          <w:color w:val="auto"/>
          <w:sz w:val="21"/>
          <w:szCs w:val="21"/>
        </w:rPr>
      </w:pPr>
      <w:bookmarkStart w:id="136" w:name="_Toc989112"/>
      <w:r>
        <w:rPr>
          <w:rFonts w:ascii="宋体" w:hAnsi="宋体" w:eastAsia="宋体" w:cs="宋体"/>
          <w:b/>
          <w:bCs/>
          <w:color w:val="auto"/>
          <w:sz w:val="21"/>
          <w:szCs w:val="21"/>
        </w:rPr>
        <w:t>（3）存货跌价准备和合同履约成本减值准备</w:t>
      </w:r>
      <w:bookmarkEnd w:id="136"/>
    </w:p>
    <w:p w14:paraId="29A9587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B0EBB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0D3824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85D275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76BC6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本期增加金额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146582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EF74CD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4B93F9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FF224CE">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1899FF4">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95994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8B5C64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438C7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转回或转销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ECE06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A75295">
            <w:pPr>
              <w:rPr>
                <w:color w:val="auto"/>
              </w:rPr>
            </w:pPr>
          </w:p>
        </w:tc>
      </w:tr>
      <w:tr w14:paraId="79BE39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AE6F9A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原材料</w:t>
            </w:r>
          </w:p>
        </w:tc>
        <w:tc>
          <w:tcPr>
            <w:tcW w:w="1377" w:type="dxa"/>
            <w:tcBorders>
              <w:top w:val="single" w:color="auto" w:sz="2" w:space="0"/>
              <w:left w:val="single" w:color="auto" w:sz="2" w:space="0"/>
              <w:bottom w:val="single" w:color="auto" w:sz="2" w:space="0"/>
              <w:right w:val="single" w:color="auto" w:sz="2" w:space="0"/>
            </w:tcBorders>
            <w:vAlign w:val="center"/>
          </w:tcPr>
          <w:p w14:paraId="0ED33C5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333,256.49</w:t>
            </w:r>
          </w:p>
        </w:tc>
        <w:tc>
          <w:tcPr>
            <w:tcW w:w="1377" w:type="dxa"/>
            <w:tcBorders>
              <w:top w:val="single" w:color="auto" w:sz="2" w:space="0"/>
              <w:left w:val="single" w:color="auto" w:sz="2" w:space="0"/>
              <w:bottom w:val="single" w:color="auto" w:sz="2" w:space="0"/>
              <w:right w:val="single" w:color="auto" w:sz="2" w:space="0"/>
            </w:tcBorders>
            <w:vAlign w:val="center"/>
          </w:tcPr>
          <w:p w14:paraId="2AE783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174,284.82</w:t>
            </w:r>
          </w:p>
        </w:tc>
        <w:tc>
          <w:tcPr>
            <w:tcW w:w="1377" w:type="dxa"/>
            <w:tcBorders>
              <w:top w:val="single" w:color="auto" w:sz="2" w:space="0"/>
              <w:left w:val="single" w:color="auto" w:sz="2" w:space="0"/>
              <w:bottom w:val="single" w:color="auto" w:sz="2" w:space="0"/>
              <w:right w:val="single" w:color="auto" w:sz="2" w:space="0"/>
            </w:tcBorders>
            <w:vAlign w:val="center"/>
          </w:tcPr>
          <w:p w14:paraId="64ABD5A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9CD2B8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291,362.91</w:t>
            </w:r>
          </w:p>
        </w:tc>
        <w:tc>
          <w:tcPr>
            <w:tcW w:w="1377" w:type="dxa"/>
            <w:tcBorders>
              <w:top w:val="single" w:color="auto" w:sz="2" w:space="0"/>
              <w:left w:val="single" w:color="auto" w:sz="2" w:space="0"/>
              <w:bottom w:val="single" w:color="auto" w:sz="2" w:space="0"/>
              <w:right w:val="single" w:color="auto" w:sz="2" w:space="0"/>
            </w:tcBorders>
            <w:vAlign w:val="center"/>
          </w:tcPr>
          <w:p w14:paraId="2E4035A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C48E4F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216,178.40</w:t>
            </w:r>
          </w:p>
        </w:tc>
      </w:tr>
      <w:tr w14:paraId="75880A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3C0805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库存商品</w:t>
            </w:r>
          </w:p>
        </w:tc>
        <w:tc>
          <w:tcPr>
            <w:tcW w:w="1377" w:type="dxa"/>
            <w:tcBorders>
              <w:top w:val="single" w:color="auto" w:sz="2" w:space="0"/>
              <w:left w:val="single" w:color="auto" w:sz="2" w:space="0"/>
              <w:bottom w:val="single" w:color="auto" w:sz="2" w:space="0"/>
              <w:right w:val="single" w:color="auto" w:sz="2" w:space="0"/>
            </w:tcBorders>
            <w:vAlign w:val="center"/>
          </w:tcPr>
          <w:p w14:paraId="736CE8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32,987,863.92</w:t>
            </w:r>
          </w:p>
        </w:tc>
        <w:tc>
          <w:tcPr>
            <w:tcW w:w="1377" w:type="dxa"/>
            <w:tcBorders>
              <w:top w:val="single" w:color="auto" w:sz="2" w:space="0"/>
              <w:left w:val="single" w:color="auto" w:sz="2" w:space="0"/>
              <w:bottom w:val="single" w:color="auto" w:sz="2" w:space="0"/>
              <w:right w:val="single" w:color="auto" w:sz="2" w:space="0"/>
            </w:tcBorders>
            <w:vAlign w:val="center"/>
          </w:tcPr>
          <w:p w14:paraId="1561728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5,463,402.51</w:t>
            </w:r>
          </w:p>
        </w:tc>
        <w:tc>
          <w:tcPr>
            <w:tcW w:w="1377" w:type="dxa"/>
            <w:tcBorders>
              <w:top w:val="single" w:color="auto" w:sz="2" w:space="0"/>
              <w:left w:val="single" w:color="auto" w:sz="2" w:space="0"/>
              <w:bottom w:val="single" w:color="auto" w:sz="2" w:space="0"/>
              <w:right w:val="single" w:color="auto" w:sz="2" w:space="0"/>
            </w:tcBorders>
            <w:vAlign w:val="center"/>
          </w:tcPr>
          <w:p w14:paraId="4D908DE2">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2615E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33,063,139.38</w:t>
            </w:r>
          </w:p>
        </w:tc>
        <w:tc>
          <w:tcPr>
            <w:tcW w:w="1377" w:type="dxa"/>
            <w:tcBorders>
              <w:top w:val="single" w:color="auto" w:sz="2" w:space="0"/>
              <w:left w:val="single" w:color="auto" w:sz="2" w:space="0"/>
              <w:bottom w:val="single" w:color="auto" w:sz="2" w:space="0"/>
              <w:right w:val="single" w:color="auto" w:sz="2" w:space="0"/>
            </w:tcBorders>
            <w:vAlign w:val="center"/>
          </w:tcPr>
          <w:p w14:paraId="6CEAFAC1">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14088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5,388,127.05</w:t>
            </w:r>
          </w:p>
        </w:tc>
      </w:tr>
      <w:tr w14:paraId="31F541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213F86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在产品</w:t>
            </w:r>
          </w:p>
        </w:tc>
        <w:tc>
          <w:tcPr>
            <w:tcW w:w="1377" w:type="dxa"/>
            <w:tcBorders>
              <w:top w:val="single" w:color="auto" w:sz="2" w:space="0"/>
              <w:left w:val="single" w:color="auto" w:sz="2" w:space="0"/>
              <w:bottom w:val="single" w:color="auto" w:sz="2" w:space="0"/>
              <w:right w:val="single" w:color="auto" w:sz="2" w:space="0"/>
            </w:tcBorders>
            <w:vAlign w:val="center"/>
          </w:tcPr>
          <w:p w14:paraId="09D427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27,368.07</w:t>
            </w:r>
          </w:p>
        </w:tc>
        <w:tc>
          <w:tcPr>
            <w:tcW w:w="1377" w:type="dxa"/>
            <w:tcBorders>
              <w:top w:val="single" w:color="auto" w:sz="2" w:space="0"/>
              <w:left w:val="single" w:color="auto" w:sz="2" w:space="0"/>
              <w:bottom w:val="single" w:color="auto" w:sz="2" w:space="0"/>
              <w:right w:val="single" w:color="auto" w:sz="2" w:space="0"/>
            </w:tcBorders>
            <w:vAlign w:val="center"/>
          </w:tcPr>
          <w:p w14:paraId="7DB7F7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99,295.75</w:t>
            </w:r>
          </w:p>
        </w:tc>
        <w:tc>
          <w:tcPr>
            <w:tcW w:w="1377" w:type="dxa"/>
            <w:tcBorders>
              <w:top w:val="single" w:color="auto" w:sz="2" w:space="0"/>
              <w:left w:val="single" w:color="auto" w:sz="2" w:space="0"/>
              <w:bottom w:val="single" w:color="auto" w:sz="2" w:space="0"/>
              <w:right w:val="single" w:color="auto" w:sz="2" w:space="0"/>
            </w:tcBorders>
            <w:vAlign w:val="center"/>
          </w:tcPr>
          <w:p w14:paraId="54A46962">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40F7AD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55,118.21</w:t>
            </w:r>
          </w:p>
        </w:tc>
        <w:tc>
          <w:tcPr>
            <w:tcW w:w="1377" w:type="dxa"/>
            <w:tcBorders>
              <w:top w:val="single" w:color="auto" w:sz="2" w:space="0"/>
              <w:left w:val="single" w:color="auto" w:sz="2" w:space="0"/>
              <w:bottom w:val="single" w:color="auto" w:sz="2" w:space="0"/>
              <w:right w:val="single" w:color="auto" w:sz="2" w:space="0"/>
            </w:tcBorders>
            <w:vAlign w:val="center"/>
          </w:tcPr>
          <w:p w14:paraId="3D4DA196">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B0643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71,545.61</w:t>
            </w:r>
          </w:p>
        </w:tc>
      </w:tr>
      <w:tr w14:paraId="4DC00D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1217B4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半成品</w:t>
            </w:r>
          </w:p>
        </w:tc>
        <w:tc>
          <w:tcPr>
            <w:tcW w:w="1377" w:type="dxa"/>
            <w:tcBorders>
              <w:top w:val="single" w:color="auto" w:sz="2" w:space="0"/>
              <w:left w:val="single" w:color="auto" w:sz="2" w:space="0"/>
              <w:bottom w:val="single" w:color="auto" w:sz="2" w:space="0"/>
              <w:right w:val="single" w:color="auto" w:sz="2" w:space="0"/>
            </w:tcBorders>
            <w:vAlign w:val="center"/>
          </w:tcPr>
          <w:p w14:paraId="39DD0EB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69,855.13</w:t>
            </w:r>
          </w:p>
        </w:tc>
        <w:tc>
          <w:tcPr>
            <w:tcW w:w="1377" w:type="dxa"/>
            <w:tcBorders>
              <w:top w:val="single" w:color="auto" w:sz="2" w:space="0"/>
              <w:left w:val="single" w:color="auto" w:sz="2" w:space="0"/>
              <w:bottom w:val="single" w:color="auto" w:sz="2" w:space="0"/>
              <w:right w:val="single" w:color="auto" w:sz="2" w:space="0"/>
            </w:tcBorders>
            <w:vAlign w:val="center"/>
          </w:tcPr>
          <w:p w14:paraId="7F2CA4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796,762.90</w:t>
            </w:r>
          </w:p>
        </w:tc>
        <w:tc>
          <w:tcPr>
            <w:tcW w:w="1377" w:type="dxa"/>
            <w:tcBorders>
              <w:top w:val="single" w:color="auto" w:sz="2" w:space="0"/>
              <w:left w:val="single" w:color="auto" w:sz="2" w:space="0"/>
              <w:bottom w:val="single" w:color="auto" w:sz="2" w:space="0"/>
              <w:right w:val="single" w:color="auto" w:sz="2" w:space="0"/>
            </w:tcBorders>
            <w:vAlign w:val="center"/>
          </w:tcPr>
          <w:p w14:paraId="466DE71D">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E86ABF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69,940.29</w:t>
            </w:r>
          </w:p>
        </w:tc>
        <w:tc>
          <w:tcPr>
            <w:tcW w:w="1377" w:type="dxa"/>
            <w:tcBorders>
              <w:top w:val="single" w:color="auto" w:sz="2" w:space="0"/>
              <w:left w:val="single" w:color="auto" w:sz="2" w:space="0"/>
              <w:bottom w:val="single" w:color="auto" w:sz="2" w:space="0"/>
              <w:right w:val="single" w:color="auto" w:sz="2" w:space="0"/>
            </w:tcBorders>
            <w:vAlign w:val="center"/>
          </w:tcPr>
          <w:p w14:paraId="367BB504">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28FC5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796,677.74</w:t>
            </w:r>
          </w:p>
        </w:tc>
      </w:tr>
      <w:tr w14:paraId="4D67BF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9CA3F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6086CE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33,418,343.61</w:t>
            </w:r>
          </w:p>
        </w:tc>
        <w:tc>
          <w:tcPr>
            <w:tcW w:w="1377" w:type="dxa"/>
            <w:tcBorders>
              <w:top w:val="single" w:color="auto" w:sz="2" w:space="0"/>
              <w:left w:val="single" w:color="auto" w:sz="2" w:space="0"/>
              <w:bottom w:val="single" w:color="auto" w:sz="2" w:space="0"/>
              <w:right w:val="single" w:color="auto" w:sz="2" w:space="0"/>
            </w:tcBorders>
            <w:vAlign w:val="center"/>
          </w:tcPr>
          <w:p w14:paraId="2E11DE4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6,533,745.98</w:t>
            </w:r>
          </w:p>
        </w:tc>
        <w:tc>
          <w:tcPr>
            <w:tcW w:w="1377" w:type="dxa"/>
            <w:tcBorders>
              <w:top w:val="single" w:color="auto" w:sz="2" w:space="0"/>
              <w:left w:val="single" w:color="auto" w:sz="2" w:space="0"/>
              <w:bottom w:val="single" w:color="auto" w:sz="2" w:space="0"/>
              <w:right w:val="single" w:color="auto" w:sz="2" w:space="0"/>
            </w:tcBorders>
            <w:vAlign w:val="center"/>
          </w:tcPr>
          <w:p w14:paraId="56183A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1377" w:type="dxa"/>
            <w:tcBorders>
              <w:top w:val="single" w:color="auto" w:sz="2" w:space="0"/>
              <w:left w:val="single" w:color="auto" w:sz="2" w:space="0"/>
              <w:bottom w:val="single" w:color="auto" w:sz="2" w:space="0"/>
              <w:right w:val="single" w:color="auto" w:sz="2" w:space="0"/>
            </w:tcBorders>
            <w:vAlign w:val="center"/>
          </w:tcPr>
          <w:p w14:paraId="1062BF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33,479,560.79</w:t>
            </w:r>
          </w:p>
        </w:tc>
        <w:tc>
          <w:tcPr>
            <w:tcW w:w="1377" w:type="dxa"/>
            <w:tcBorders>
              <w:top w:val="single" w:color="auto" w:sz="2" w:space="0"/>
              <w:left w:val="single" w:color="auto" w:sz="2" w:space="0"/>
              <w:bottom w:val="single" w:color="auto" w:sz="2" w:space="0"/>
              <w:right w:val="single" w:color="auto" w:sz="2" w:space="0"/>
            </w:tcBorders>
            <w:vAlign w:val="center"/>
          </w:tcPr>
          <w:p w14:paraId="5D6C44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1377" w:type="dxa"/>
            <w:tcBorders>
              <w:top w:val="single" w:color="auto" w:sz="2" w:space="0"/>
              <w:left w:val="single" w:color="auto" w:sz="2" w:space="0"/>
              <w:bottom w:val="single" w:color="auto" w:sz="2" w:space="0"/>
              <w:right w:val="single" w:color="auto" w:sz="2" w:space="0"/>
            </w:tcBorders>
            <w:vAlign w:val="center"/>
          </w:tcPr>
          <w:p w14:paraId="4917F4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6,472,528.80</w:t>
            </w:r>
          </w:p>
        </w:tc>
      </w:tr>
    </w:tbl>
    <w:p w14:paraId="2B99A62E">
      <w:pPr>
        <w:spacing w:before="60" w:after="60" w:line="0" w:lineRule="exact"/>
        <w:jc w:val="left"/>
        <w:rPr>
          <w:color w:val="auto"/>
        </w:rPr>
      </w:pPr>
    </w:p>
    <w:p w14:paraId="58DAFB4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按组合计提存货跌价准备</w:t>
      </w:r>
    </w:p>
    <w:p w14:paraId="685B28D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B0F31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1708AA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组合名称</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772AB0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843A15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w:t>
            </w:r>
          </w:p>
        </w:tc>
      </w:tr>
      <w:tr w14:paraId="50348B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64892B0">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56E5DD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F29D30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跌价准备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2AB30A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跌价准备计提比例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440E0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12AD4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跌价准备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4255F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跌价准备计提比例</w:t>
            </w:r>
          </w:p>
        </w:tc>
      </w:tr>
    </w:tbl>
    <w:p w14:paraId="4171453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按组合计提存货跌价准备的计提标准</w:t>
      </w:r>
    </w:p>
    <w:p w14:paraId="7F8ECDEF">
      <w:pPr>
        <w:keepNext/>
        <w:keepLines/>
        <w:spacing w:before="300" w:after="300" w:line="280" w:lineRule="exact"/>
        <w:jc w:val="left"/>
        <w:outlineLvl w:val="3"/>
        <w:rPr>
          <w:rFonts w:ascii="宋体" w:hAnsi="宋体" w:eastAsia="宋体" w:cs="宋体"/>
          <w:b/>
          <w:bCs/>
          <w:color w:val="auto"/>
          <w:sz w:val="21"/>
          <w:szCs w:val="21"/>
        </w:rPr>
      </w:pPr>
      <w:bookmarkStart w:id="137" w:name="_Toc989113"/>
      <w:r>
        <w:rPr>
          <w:rFonts w:ascii="宋体" w:hAnsi="宋体" w:eastAsia="宋体" w:cs="宋体"/>
          <w:b/>
          <w:bCs/>
          <w:color w:val="auto"/>
          <w:sz w:val="21"/>
          <w:szCs w:val="21"/>
        </w:rPr>
        <w:t>（4）存货期末余额含有借款费用资本化金额的说明</w:t>
      </w:r>
      <w:bookmarkEnd w:id="137"/>
    </w:p>
    <w:p w14:paraId="56EFE66C">
      <w:pPr>
        <w:keepNext/>
        <w:keepLines/>
        <w:spacing w:before="300" w:after="300" w:line="280" w:lineRule="exact"/>
        <w:jc w:val="left"/>
        <w:outlineLvl w:val="3"/>
        <w:rPr>
          <w:rFonts w:ascii="宋体" w:hAnsi="宋体" w:eastAsia="宋体" w:cs="宋体"/>
          <w:b/>
          <w:bCs/>
          <w:color w:val="auto"/>
          <w:sz w:val="21"/>
          <w:szCs w:val="21"/>
        </w:rPr>
      </w:pPr>
      <w:bookmarkStart w:id="138" w:name="_Toc989114"/>
      <w:r>
        <w:rPr>
          <w:rFonts w:ascii="宋体" w:hAnsi="宋体" w:eastAsia="宋体" w:cs="宋体"/>
          <w:b/>
          <w:bCs/>
          <w:color w:val="auto"/>
          <w:sz w:val="21"/>
          <w:szCs w:val="21"/>
        </w:rPr>
        <w:t>（5）合同履约成本本期摊销金额的说明</w:t>
      </w:r>
      <w:bookmarkEnd w:id="138"/>
    </w:p>
    <w:p w14:paraId="5BF73DBD">
      <w:pPr>
        <w:keepNext/>
        <w:keepLines/>
        <w:spacing w:before="300" w:after="300" w:line="280" w:lineRule="exact"/>
        <w:jc w:val="left"/>
        <w:outlineLvl w:val="2"/>
        <w:rPr>
          <w:rFonts w:ascii="宋体" w:hAnsi="宋体" w:eastAsia="宋体" w:cs="宋体"/>
          <w:b/>
          <w:bCs/>
          <w:color w:val="auto"/>
          <w:sz w:val="21"/>
          <w:szCs w:val="21"/>
        </w:rPr>
      </w:pPr>
      <w:bookmarkStart w:id="139" w:name="_Toc989115"/>
      <w:r>
        <w:rPr>
          <w:rFonts w:ascii="宋体" w:hAnsi="宋体" w:eastAsia="宋体" w:cs="宋体"/>
          <w:b/>
          <w:bCs/>
          <w:color w:val="auto"/>
          <w:sz w:val="21"/>
          <w:szCs w:val="21"/>
        </w:rPr>
        <w:t>11、持有待售资产</w:t>
      </w:r>
      <w:bookmarkEnd w:id="139"/>
    </w:p>
    <w:p w14:paraId="16E416D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15BF6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DAAD99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FBF12E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FEF11F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88B1A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B0FFFE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公允价值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0A8767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预计处置费用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BEF3B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预计处置时间</w:t>
            </w:r>
          </w:p>
        </w:tc>
      </w:tr>
    </w:tbl>
    <w:p w14:paraId="4E503FF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CDA859A">
      <w:pPr>
        <w:keepNext/>
        <w:keepLines/>
        <w:spacing w:before="300" w:after="300" w:line="280" w:lineRule="exact"/>
        <w:jc w:val="left"/>
        <w:outlineLvl w:val="2"/>
        <w:rPr>
          <w:rFonts w:ascii="宋体" w:hAnsi="宋体" w:eastAsia="宋体" w:cs="宋体"/>
          <w:b/>
          <w:bCs/>
          <w:color w:val="auto"/>
          <w:sz w:val="21"/>
          <w:szCs w:val="21"/>
        </w:rPr>
      </w:pPr>
      <w:bookmarkStart w:id="140" w:name="_Toc989116"/>
      <w:r>
        <w:rPr>
          <w:rFonts w:ascii="宋体" w:hAnsi="宋体" w:eastAsia="宋体" w:cs="宋体"/>
          <w:b/>
          <w:bCs/>
          <w:color w:val="auto"/>
          <w:sz w:val="21"/>
          <w:szCs w:val="21"/>
        </w:rPr>
        <w:t>12、一年内到期的非流动资产</w:t>
      </w:r>
      <w:bookmarkEnd w:id="140"/>
    </w:p>
    <w:p w14:paraId="1B6B8F9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2AF76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C606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02D74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9F9A2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650F66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1FA9E6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一年内到期的长期待摊费用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0F03DEB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8C79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128,301.77</w:t>
            </w:r>
          </w:p>
        </w:tc>
      </w:tr>
      <w:tr w14:paraId="001E62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35B8B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3A8D03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25433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128,301.77</w:t>
            </w:r>
          </w:p>
        </w:tc>
      </w:tr>
    </w:tbl>
    <w:p w14:paraId="3F787E8A">
      <w:pPr>
        <w:keepNext/>
        <w:keepLines/>
        <w:spacing w:before="300" w:after="300" w:line="280" w:lineRule="exact"/>
        <w:jc w:val="left"/>
        <w:outlineLvl w:val="3"/>
        <w:rPr>
          <w:rFonts w:ascii="宋体" w:hAnsi="宋体" w:eastAsia="宋体" w:cs="宋体"/>
          <w:b/>
          <w:bCs/>
          <w:color w:val="auto"/>
          <w:sz w:val="21"/>
          <w:szCs w:val="21"/>
        </w:rPr>
      </w:pPr>
      <w:bookmarkStart w:id="141" w:name="_Toc989117"/>
      <w:r>
        <w:rPr>
          <w:rFonts w:ascii="宋体" w:hAnsi="宋体" w:eastAsia="宋体" w:cs="宋体"/>
          <w:b/>
          <w:bCs/>
          <w:color w:val="auto"/>
          <w:sz w:val="21"/>
          <w:szCs w:val="21"/>
        </w:rPr>
        <w:t>（1）一年内到期的债权投资</w:t>
      </w:r>
      <w:bookmarkEnd w:id="141"/>
    </w:p>
    <w:p w14:paraId="40E7C21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675D85EF">
      <w:pPr>
        <w:keepNext/>
        <w:keepLines/>
        <w:spacing w:before="300" w:after="300" w:line="280" w:lineRule="exact"/>
        <w:jc w:val="left"/>
        <w:outlineLvl w:val="3"/>
        <w:rPr>
          <w:rFonts w:ascii="宋体" w:hAnsi="宋体" w:eastAsia="宋体" w:cs="宋体"/>
          <w:b/>
          <w:bCs/>
          <w:color w:val="auto"/>
          <w:sz w:val="21"/>
          <w:szCs w:val="21"/>
        </w:rPr>
      </w:pPr>
      <w:bookmarkStart w:id="142" w:name="_Toc989118"/>
      <w:r>
        <w:rPr>
          <w:rFonts w:ascii="宋体" w:hAnsi="宋体" w:eastAsia="宋体" w:cs="宋体"/>
          <w:b/>
          <w:bCs/>
          <w:color w:val="auto"/>
          <w:sz w:val="21"/>
          <w:szCs w:val="21"/>
        </w:rPr>
        <w:t>（2）一年内到期的其他债权投资</w:t>
      </w:r>
      <w:bookmarkEnd w:id="142"/>
    </w:p>
    <w:p w14:paraId="17A2B4E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4227C521">
      <w:pPr>
        <w:keepNext/>
        <w:keepLines/>
        <w:spacing w:before="300" w:after="300" w:line="280" w:lineRule="exact"/>
        <w:jc w:val="left"/>
        <w:outlineLvl w:val="2"/>
        <w:rPr>
          <w:rFonts w:ascii="宋体" w:hAnsi="宋体" w:eastAsia="宋体" w:cs="宋体"/>
          <w:b/>
          <w:bCs/>
          <w:color w:val="auto"/>
          <w:sz w:val="21"/>
          <w:szCs w:val="21"/>
        </w:rPr>
      </w:pPr>
      <w:bookmarkStart w:id="143" w:name="_Toc989119"/>
      <w:r>
        <w:rPr>
          <w:rFonts w:ascii="宋体" w:hAnsi="宋体" w:eastAsia="宋体" w:cs="宋体"/>
          <w:b/>
          <w:bCs/>
          <w:color w:val="auto"/>
          <w:sz w:val="21"/>
          <w:szCs w:val="21"/>
        </w:rPr>
        <w:t>13、其他流动资产</w:t>
      </w:r>
      <w:bookmarkEnd w:id="143"/>
    </w:p>
    <w:p w14:paraId="224137B1">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C306E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25856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3A955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978B7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2E4B11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246B88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增值税留抵税额</w:t>
            </w:r>
          </w:p>
        </w:tc>
        <w:tc>
          <w:tcPr>
            <w:tcW w:w="3213" w:type="dxa"/>
            <w:tcBorders>
              <w:top w:val="single" w:color="auto" w:sz="2" w:space="0"/>
              <w:left w:val="single" w:color="auto" w:sz="2" w:space="0"/>
              <w:bottom w:val="single" w:color="auto" w:sz="2" w:space="0"/>
              <w:right w:val="single" w:color="auto" w:sz="2" w:space="0"/>
            </w:tcBorders>
            <w:vAlign w:val="center"/>
          </w:tcPr>
          <w:p w14:paraId="3403BC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27,765,497.53</w:t>
            </w:r>
          </w:p>
        </w:tc>
        <w:tc>
          <w:tcPr>
            <w:tcW w:w="3213" w:type="dxa"/>
            <w:tcBorders>
              <w:top w:val="single" w:color="auto" w:sz="2" w:space="0"/>
              <w:left w:val="single" w:color="auto" w:sz="2" w:space="0"/>
              <w:bottom w:val="single" w:color="auto" w:sz="2" w:space="0"/>
              <w:right w:val="single" w:color="auto" w:sz="2" w:space="0"/>
            </w:tcBorders>
            <w:vAlign w:val="center"/>
          </w:tcPr>
          <w:p w14:paraId="314761A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28,298,239.30</w:t>
            </w:r>
          </w:p>
        </w:tc>
      </w:tr>
      <w:tr w14:paraId="652F0A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726C3C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待认证进项税额</w:t>
            </w:r>
          </w:p>
        </w:tc>
        <w:tc>
          <w:tcPr>
            <w:tcW w:w="3213" w:type="dxa"/>
            <w:tcBorders>
              <w:top w:val="single" w:color="auto" w:sz="2" w:space="0"/>
              <w:left w:val="single" w:color="auto" w:sz="2" w:space="0"/>
              <w:bottom w:val="single" w:color="auto" w:sz="2" w:space="0"/>
              <w:right w:val="single" w:color="auto" w:sz="2" w:space="0"/>
            </w:tcBorders>
            <w:vAlign w:val="center"/>
          </w:tcPr>
          <w:p w14:paraId="0E503A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30,484,475.98</w:t>
            </w:r>
          </w:p>
        </w:tc>
        <w:tc>
          <w:tcPr>
            <w:tcW w:w="3213" w:type="dxa"/>
            <w:tcBorders>
              <w:top w:val="single" w:color="auto" w:sz="2" w:space="0"/>
              <w:left w:val="single" w:color="auto" w:sz="2" w:space="0"/>
              <w:bottom w:val="single" w:color="auto" w:sz="2" w:space="0"/>
              <w:right w:val="single" w:color="auto" w:sz="2" w:space="0"/>
            </w:tcBorders>
            <w:vAlign w:val="center"/>
          </w:tcPr>
          <w:p w14:paraId="21E78A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30,324,330.17</w:t>
            </w:r>
          </w:p>
        </w:tc>
      </w:tr>
      <w:tr w14:paraId="35375F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ABCEA6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待抵扣进项税额</w:t>
            </w:r>
          </w:p>
        </w:tc>
        <w:tc>
          <w:tcPr>
            <w:tcW w:w="3213" w:type="dxa"/>
            <w:tcBorders>
              <w:top w:val="single" w:color="auto" w:sz="2" w:space="0"/>
              <w:left w:val="single" w:color="auto" w:sz="2" w:space="0"/>
              <w:bottom w:val="single" w:color="auto" w:sz="2" w:space="0"/>
              <w:right w:val="single" w:color="auto" w:sz="2" w:space="0"/>
            </w:tcBorders>
            <w:vAlign w:val="center"/>
          </w:tcPr>
          <w:p w14:paraId="641267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328,975.74</w:t>
            </w:r>
          </w:p>
        </w:tc>
        <w:tc>
          <w:tcPr>
            <w:tcW w:w="3213" w:type="dxa"/>
            <w:tcBorders>
              <w:top w:val="single" w:color="auto" w:sz="2" w:space="0"/>
              <w:left w:val="single" w:color="auto" w:sz="2" w:space="0"/>
              <w:bottom w:val="single" w:color="auto" w:sz="2" w:space="0"/>
              <w:right w:val="single" w:color="auto" w:sz="2" w:space="0"/>
            </w:tcBorders>
            <w:vAlign w:val="center"/>
          </w:tcPr>
          <w:p w14:paraId="26A6CC5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326,284.31</w:t>
            </w:r>
          </w:p>
        </w:tc>
      </w:tr>
      <w:tr w14:paraId="136C55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AC2BD8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增值税减免税额</w:t>
            </w:r>
          </w:p>
        </w:tc>
        <w:tc>
          <w:tcPr>
            <w:tcW w:w="3213" w:type="dxa"/>
            <w:tcBorders>
              <w:top w:val="single" w:color="auto" w:sz="2" w:space="0"/>
              <w:left w:val="single" w:color="auto" w:sz="2" w:space="0"/>
              <w:bottom w:val="single" w:color="auto" w:sz="2" w:space="0"/>
              <w:right w:val="single" w:color="auto" w:sz="2" w:space="0"/>
            </w:tcBorders>
            <w:vAlign w:val="center"/>
          </w:tcPr>
          <w:p w14:paraId="29834B8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6,599.00</w:t>
            </w:r>
          </w:p>
        </w:tc>
        <w:tc>
          <w:tcPr>
            <w:tcW w:w="3213" w:type="dxa"/>
            <w:tcBorders>
              <w:top w:val="single" w:color="auto" w:sz="2" w:space="0"/>
              <w:left w:val="single" w:color="auto" w:sz="2" w:space="0"/>
              <w:bottom w:val="single" w:color="auto" w:sz="2" w:space="0"/>
              <w:right w:val="single" w:color="auto" w:sz="2" w:space="0"/>
            </w:tcBorders>
            <w:vAlign w:val="center"/>
          </w:tcPr>
          <w:p w14:paraId="7CFF66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2,839.00</w:t>
            </w:r>
          </w:p>
        </w:tc>
      </w:tr>
      <w:tr w14:paraId="420B4D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09CBB05">
            <w:pPr>
              <w:spacing w:before="0" w:after="0" w:line="240" w:lineRule="exact"/>
              <w:jc w:val="left"/>
              <w:rPr>
                <w:rFonts w:ascii="宋体" w:hAnsi="宋体" w:eastAsia="宋体" w:cs="宋体"/>
                <w:color w:val="auto"/>
                <w:sz w:val="18"/>
                <w:szCs w:val="18"/>
              </w:rPr>
            </w:pPr>
            <w:r>
              <w:rPr>
                <w:rFonts w:hint="eastAsia" w:ascii="宋体" w:hAnsi="宋体" w:cs="宋体"/>
                <w:color w:val="auto"/>
                <w:sz w:val="18"/>
                <w:szCs w:val="18"/>
                <w:lang w:val="en-US" w:eastAsia="zh-CN"/>
              </w:rPr>
              <w:t>待</w:t>
            </w:r>
            <w:r>
              <w:rPr>
                <w:rFonts w:ascii="宋体" w:hAnsi="宋体" w:eastAsia="宋体" w:cs="宋体"/>
                <w:color w:val="auto"/>
                <w:sz w:val="18"/>
                <w:szCs w:val="18"/>
              </w:rPr>
              <w:t>转销销项税额</w:t>
            </w:r>
          </w:p>
        </w:tc>
        <w:tc>
          <w:tcPr>
            <w:tcW w:w="3213" w:type="dxa"/>
            <w:tcBorders>
              <w:top w:val="single" w:color="auto" w:sz="2" w:space="0"/>
              <w:left w:val="single" w:color="auto" w:sz="2" w:space="0"/>
              <w:bottom w:val="single" w:color="auto" w:sz="2" w:space="0"/>
              <w:right w:val="single" w:color="auto" w:sz="2" w:space="0"/>
            </w:tcBorders>
            <w:vAlign w:val="center"/>
          </w:tcPr>
          <w:p w14:paraId="5FE3A41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154,576.18</w:t>
            </w:r>
          </w:p>
        </w:tc>
        <w:tc>
          <w:tcPr>
            <w:tcW w:w="3213" w:type="dxa"/>
            <w:tcBorders>
              <w:top w:val="single" w:color="auto" w:sz="2" w:space="0"/>
              <w:left w:val="single" w:color="auto" w:sz="2" w:space="0"/>
              <w:bottom w:val="single" w:color="auto" w:sz="2" w:space="0"/>
              <w:right w:val="single" w:color="auto" w:sz="2" w:space="0"/>
            </w:tcBorders>
            <w:vAlign w:val="center"/>
          </w:tcPr>
          <w:p w14:paraId="337DA675">
            <w:pPr>
              <w:spacing w:before="0" w:after="0" w:line="240" w:lineRule="exact"/>
              <w:jc w:val="right"/>
              <w:rPr>
                <w:rFonts w:ascii="宋体" w:hAnsi="宋体" w:eastAsia="宋体" w:cs="宋体"/>
                <w:color w:val="auto"/>
                <w:sz w:val="18"/>
                <w:szCs w:val="18"/>
              </w:rPr>
            </w:pPr>
          </w:p>
        </w:tc>
      </w:tr>
      <w:tr w14:paraId="7E1379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AC9562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应收退货成本</w:t>
            </w:r>
          </w:p>
        </w:tc>
        <w:tc>
          <w:tcPr>
            <w:tcW w:w="3213" w:type="dxa"/>
            <w:tcBorders>
              <w:top w:val="single" w:color="auto" w:sz="2" w:space="0"/>
              <w:left w:val="single" w:color="auto" w:sz="2" w:space="0"/>
              <w:bottom w:val="single" w:color="auto" w:sz="2" w:space="0"/>
              <w:right w:val="single" w:color="auto" w:sz="2" w:space="0"/>
            </w:tcBorders>
            <w:vAlign w:val="center"/>
          </w:tcPr>
          <w:p w14:paraId="6DB988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1,218,915.36</w:t>
            </w:r>
          </w:p>
        </w:tc>
        <w:tc>
          <w:tcPr>
            <w:tcW w:w="3213" w:type="dxa"/>
            <w:tcBorders>
              <w:top w:val="single" w:color="auto" w:sz="2" w:space="0"/>
              <w:left w:val="single" w:color="auto" w:sz="2" w:space="0"/>
              <w:bottom w:val="single" w:color="auto" w:sz="2" w:space="0"/>
              <w:right w:val="single" w:color="auto" w:sz="2" w:space="0"/>
            </w:tcBorders>
            <w:vAlign w:val="center"/>
          </w:tcPr>
          <w:p w14:paraId="60DED06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713,419.85</w:t>
            </w:r>
          </w:p>
        </w:tc>
      </w:tr>
      <w:tr w14:paraId="29679A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90BEC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F631E7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59,959,039.79</w:t>
            </w:r>
          </w:p>
        </w:tc>
        <w:tc>
          <w:tcPr>
            <w:tcW w:w="3213" w:type="dxa"/>
            <w:tcBorders>
              <w:top w:val="single" w:color="auto" w:sz="2" w:space="0"/>
              <w:left w:val="single" w:color="auto" w:sz="2" w:space="0"/>
              <w:bottom w:val="single" w:color="auto" w:sz="2" w:space="0"/>
              <w:right w:val="single" w:color="auto" w:sz="2" w:space="0"/>
            </w:tcBorders>
            <w:vAlign w:val="center"/>
          </w:tcPr>
          <w:p w14:paraId="13A9BD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59,665,112.63</w:t>
            </w:r>
          </w:p>
        </w:tc>
      </w:tr>
    </w:tbl>
    <w:p w14:paraId="1DDE851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82736DA">
      <w:pPr>
        <w:keepNext/>
        <w:keepLines/>
        <w:spacing w:before="300" w:after="300" w:line="280" w:lineRule="exact"/>
        <w:jc w:val="left"/>
        <w:outlineLvl w:val="2"/>
        <w:rPr>
          <w:rFonts w:ascii="宋体" w:hAnsi="宋体" w:eastAsia="宋体" w:cs="宋体"/>
          <w:b/>
          <w:bCs/>
          <w:color w:val="auto"/>
          <w:sz w:val="21"/>
          <w:szCs w:val="21"/>
        </w:rPr>
      </w:pPr>
      <w:bookmarkStart w:id="144" w:name="_Toc989120"/>
      <w:r>
        <w:rPr>
          <w:rFonts w:ascii="宋体" w:hAnsi="宋体" w:eastAsia="宋体" w:cs="宋体"/>
          <w:b/>
          <w:bCs/>
          <w:color w:val="auto"/>
          <w:sz w:val="21"/>
          <w:szCs w:val="21"/>
        </w:rPr>
        <w:t>14、债权投资</w:t>
      </w:r>
      <w:bookmarkEnd w:id="144"/>
    </w:p>
    <w:p w14:paraId="08C1BE49">
      <w:pPr>
        <w:keepNext/>
        <w:keepLines/>
        <w:spacing w:before="300" w:after="300" w:line="280" w:lineRule="exact"/>
        <w:jc w:val="left"/>
        <w:outlineLvl w:val="3"/>
        <w:rPr>
          <w:rFonts w:ascii="宋体" w:hAnsi="宋体" w:eastAsia="宋体" w:cs="宋体"/>
          <w:b/>
          <w:bCs/>
          <w:color w:val="auto"/>
          <w:sz w:val="21"/>
          <w:szCs w:val="21"/>
        </w:rPr>
      </w:pPr>
      <w:bookmarkStart w:id="145" w:name="_Toc989121"/>
      <w:r>
        <w:rPr>
          <w:rFonts w:ascii="宋体" w:hAnsi="宋体" w:eastAsia="宋体" w:cs="宋体"/>
          <w:b/>
          <w:bCs/>
          <w:color w:val="auto"/>
          <w:sz w:val="21"/>
          <w:szCs w:val="21"/>
        </w:rPr>
        <w:t>（1）债权投资的情况</w:t>
      </w:r>
      <w:bookmarkEnd w:id="145"/>
    </w:p>
    <w:p w14:paraId="15F4D2E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EB5C3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46503D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53EEF6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61CA2B0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4DEA56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16B20D5">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E0D5F5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DDA73B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7C7A6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18713A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0BD57E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0CB50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bl>
    <w:p w14:paraId="04860D6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债权投资减值准备本期变动情况</w:t>
      </w:r>
    </w:p>
    <w:p w14:paraId="7F6AAA0E">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A91F8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2A96B4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E93C2E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0B0BE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A150BC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95109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bl>
    <w:p w14:paraId="7F6B6EDC">
      <w:pPr>
        <w:keepNext/>
        <w:keepLines/>
        <w:spacing w:before="300" w:after="300" w:line="280" w:lineRule="exact"/>
        <w:jc w:val="left"/>
        <w:outlineLvl w:val="3"/>
        <w:rPr>
          <w:rFonts w:ascii="宋体" w:hAnsi="宋体" w:eastAsia="宋体" w:cs="宋体"/>
          <w:b/>
          <w:bCs/>
          <w:color w:val="auto"/>
          <w:sz w:val="21"/>
          <w:szCs w:val="21"/>
        </w:rPr>
      </w:pPr>
      <w:bookmarkStart w:id="146" w:name="_Toc989122"/>
      <w:r>
        <w:rPr>
          <w:rFonts w:ascii="宋体" w:hAnsi="宋体" w:eastAsia="宋体" w:cs="宋体"/>
          <w:b/>
          <w:bCs/>
          <w:color w:val="auto"/>
          <w:sz w:val="21"/>
          <w:szCs w:val="21"/>
        </w:rPr>
        <w:t>（2）期末重要的债权投资</w:t>
      </w:r>
      <w:bookmarkEnd w:id="146"/>
    </w:p>
    <w:p w14:paraId="72A1A126">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4291F8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08860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债权项目</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7060B7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6F8F9B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7E1BE7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DE5188">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2B1A01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0711A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8F0E41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823D7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085DBF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逾期本金</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CCF82C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DFE36E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C762D4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E97240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040217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逾期本金</w:t>
            </w:r>
          </w:p>
        </w:tc>
      </w:tr>
    </w:tbl>
    <w:p w14:paraId="29D881FA">
      <w:pPr>
        <w:keepNext/>
        <w:keepLines/>
        <w:spacing w:before="300" w:after="300" w:line="280" w:lineRule="exact"/>
        <w:jc w:val="left"/>
        <w:outlineLvl w:val="3"/>
        <w:rPr>
          <w:rFonts w:ascii="宋体" w:hAnsi="宋体" w:eastAsia="宋体" w:cs="宋体"/>
          <w:b/>
          <w:bCs/>
          <w:color w:val="auto"/>
          <w:sz w:val="21"/>
          <w:szCs w:val="21"/>
        </w:rPr>
      </w:pPr>
      <w:bookmarkStart w:id="147" w:name="_Toc989123"/>
      <w:r>
        <w:rPr>
          <w:rFonts w:ascii="宋体" w:hAnsi="宋体" w:eastAsia="宋体" w:cs="宋体"/>
          <w:b/>
          <w:bCs/>
          <w:color w:val="auto"/>
          <w:sz w:val="21"/>
          <w:szCs w:val="21"/>
        </w:rPr>
        <w:t>（3）减值准备计提情况</w:t>
      </w:r>
      <w:bookmarkEnd w:id="147"/>
    </w:p>
    <w:p w14:paraId="22D1F3D2">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08421C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9D4F5D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9F934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07C0A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410523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19D0A9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646542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ECECB08">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A1F143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572BA7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E1FED6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F125E60">
            <w:pPr>
              <w:rPr>
                <w:color w:val="auto"/>
              </w:rPr>
            </w:pPr>
          </w:p>
        </w:tc>
      </w:tr>
      <w:tr w14:paraId="1E7128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88715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2025年1月1日余额在本期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D6237CA">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DB4C0C0">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ED193DB">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55230E">
            <w:pPr>
              <w:rPr>
                <w:color w:val="auto"/>
              </w:rPr>
            </w:pPr>
          </w:p>
        </w:tc>
      </w:tr>
    </w:tbl>
    <w:p w14:paraId="792FDEB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各阶段划分依据和坏账准备计提比例</w:t>
      </w:r>
    </w:p>
    <w:p w14:paraId="308B85C0">
      <w:pPr>
        <w:keepNext/>
        <w:keepLines/>
        <w:spacing w:before="300" w:after="300" w:line="280" w:lineRule="exact"/>
        <w:jc w:val="left"/>
        <w:outlineLvl w:val="3"/>
        <w:rPr>
          <w:rFonts w:ascii="宋体" w:hAnsi="宋体" w:eastAsia="宋体" w:cs="宋体"/>
          <w:b/>
          <w:bCs/>
          <w:color w:val="auto"/>
          <w:sz w:val="21"/>
          <w:szCs w:val="21"/>
        </w:rPr>
      </w:pPr>
      <w:bookmarkStart w:id="148" w:name="_Toc989124"/>
      <w:r>
        <w:rPr>
          <w:rFonts w:ascii="宋体" w:hAnsi="宋体" w:eastAsia="宋体" w:cs="宋体"/>
          <w:b/>
          <w:bCs/>
          <w:color w:val="auto"/>
          <w:sz w:val="21"/>
          <w:szCs w:val="21"/>
        </w:rPr>
        <w:t>（4）本期实际核销的债权投资情况</w:t>
      </w:r>
      <w:bookmarkEnd w:id="148"/>
    </w:p>
    <w:p w14:paraId="68E3A4F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21AAA3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DA1F7E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75BD87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457A677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其中重要的债权投资核销情况</w:t>
      </w:r>
    </w:p>
    <w:p w14:paraId="02FFC4DA">
      <w:pPr>
        <w:spacing w:before="0" w:after="0" w:line="0" w:lineRule="exact"/>
        <w:jc w:val="left"/>
        <w:rPr>
          <w:color w:val="auto"/>
        </w:rPr>
      </w:pPr>
    </w:p>
    <w:p w14:paraId="6D2025F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债权投资核销说明：</w:t>
      </w:r>
    </w:p>
    <w:p w14:paraId="5C0C1B0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损失准备本期变动金额重大的账面余额变动情况</w:t>
      </w:r>
    </w:p>
    <w:p w14:paraId="6A470E6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0EC1DF4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1FF9F9F">
      <w:pPr>
        <w:keepNext/>
        <w:keepLines/>
        <w:spacing w:before="300" w:after="300" w:line="280" w:lineRule="exact"/>
        <w:jc w:val="left"/>
        <w:outlineLvl w:val="2"/>
        <w:rPr>
          <w:rFonts w:ascii="宋体" w:hAnsi="宋体" w:eastAsia="宋体" w:cs="宋体"/>
          <w:b/>
          <w:bCs/>
          <w:color w:val="auto"/>
          <w:sz w:val="21"/>
          <w:szCs w:val="21"/>
        </w:rPr>
      </w:pPr>
      <w:bookmarkStart w:id="149" w:name="_Toc989125"/>
      <w:r>
        <w:rPr>
          <w:rFonts w:ascii="宋体" w:hAnsi="宋体" w:eastAsia="宋体" w:cs="宋体"/>
          <w:b/>
          <w:bCs/>
          <w:color w:val="auto"/>
          <w:sz w:val="21"/>
          <w:szCs w:val="21"/>
        </w:rPr>
        <w:t>15、其他债权投资</w:t>
      </w:r>
      <w:bookmarkEnd w:id="149"/>
    </w:p>
    <w:p w14:paraId="788B8E57">
      <w:pPr>
        <w:keepNext/>
        <w:keepLines/>
        <w:spacing w:before="300" w:after="300" w:line="280" w:lineRule="exact"/>
        <w:jc w:val="left"/>
        <w:outlineLvl w:val="3"/>
        <w:rPr>
          <w:rFonts w:ascii="宋体" w:hAnsi="宋体" w:eastAsia="宋体" w:cs="宋体"/>
          <w:b/>
          <w:bCs/>
          <w:color w:val="auto"/>
          <w:sz w:val="21"/>
          <w:szCs w:val="21"/>
        </w:rPr>
      </w:pPr>
      <w:bookmarkStart w:id="150" w:name="_Toc989126"/>
      <w:r>
        <w:rPr>
          <w:rFonts w:ascii="宋体" w:hAnsi="宋体" w:eastAsia="宋体" w:cs="宋体"/>
          <w:b/>
          <w:bCs/>
          <w:color w:val="auto"/>
          <w:sz w:val="21"/>
          <w:szCs w:val="21"/>
        </w:rPr>
        <w:t>（1）其他债权投资的情况</w:t>
      </w:r>
      <w:bookmarkEnd w:id="150"/>
    </w:p>
    <w:p w14:paraId="079894B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4"/>
        <w:gridCol w:w="964"/>
        <w:gridCol w:w="964"/>
        <w:gridCol w:w="964"/>
        <w:gridCol w:w="964"/>
        <w:gridCol w:w="964"/>
        <w:gridCol w:w="964"/>
        <w:gridCol w:w="964"/>
        <w:gridCol w:w="964"/>
        <w:gridCol w:w="964"/>
      </w:tblGrid>
      <w:tr w14:paraId="645D03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3B6299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0776F2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989EF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应计利息</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C9D3C6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利息调整</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ADEB23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本期公允价值变动</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0649A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BDBCFB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成本</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B9C3BB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累计公允价值变动</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FF760F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累计在其他综合收益中确认的减值准备</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8B0C08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备注</w:t>
            </w:r>
          </w:p>
        </w:tc>
      </w:tr>
    </w:tbl>
    <w:p w14:paraId="6FC6CCC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其他债权投资减值准备本期变动情况</w:t>
      </w:r>
    </w:p>
    <w:p w14:paraId="5E1AAC3F">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04B280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50F10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4F777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58FB7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5DF9D5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AB6E5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bl>
    <w:p w14:paraId="1105B6C7">
      <w:pPr>
        <w:keepNext/>
        <w:keepLines/>
        <w:spacing w:before="300" w:after="300" w:line="280" w:lineRule="exact"/>
        <w:jc w:val="left"/>
        <w:outlineLvl w:val="3"/>
        <w:rPr>
          <w:rFonts w:ascii="宋体" w:hAnsi="宋体" w:eastAsia="宋体" w:cs="宋体"/>
          <w:b/>
          <w:bCs/>
          <w:color w:val="auto"/>
          <w:sz w:val="21"/>
          <w:szCs w:val="21"/>
        </w:rPr>
      </w:pPr>
      <w:bookmarkStart w:id="151" w:name="_Toc989127"/>
      <w:r>
        <w:rPr>
          <w:rFonts w:ascii="宋体" w:hAnsi="宋体" w:eastAsia="宋体" w:cs="宋体"/>
          <w:b/>
          <w:bCs/>
          <w:color w:val="auto"/>
          <w:sz w:val="21"/>
          <w:szCs w:val="21"/>
        </w:rPr>
        <w:t>（2）期末重要的其他债权投资</w:t>
      </w:r>
      <w:bookmarkEnd w:id="151"/>
    </w:p>
    <w:p w14:paraId="64AC9938">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7D8403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0D001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其他债权项目</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BB3FDF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2B3BC4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72838C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FB48FB">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D28A58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F12D7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8A500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F20062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4D85A8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逾期本金</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ABFF20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面值</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C1FEFF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票面利率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C4B9E8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实际利率</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409A28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到期日</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956FBB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逾期本金</w:t>
            </w:r>
          </w:p>
        </w:tc>
      </w:tr>
    </w:tbl>
    <w:p w14:paraId="7918FCB6">
      <w:pPr>
        <w:keepNext/>
        <w:keepLines/>
        <w:spacing w:before="300" w:after="300" w:line="280" w:lineRule="exact"/>
        <w:jc w:val="left"/>
        <w:outlineLvl w:val="3"/>
        <w:rPr>
          <w:rFonts w:ascii="宋体" w:hAnsi="宋体" w:eastAsia="宋体" w:cs="宋体"/>
          <w:b/>
          <w:bCs/>
          <w:color w:val="auto"/>
          <w:sz w:val="21"/>
          <w:szCs w:val="21"/>
        </w:rPr>
      </w:pPr>
      <w:bookmarkStart w:id="152" w:name="_Toc989128"/>
      <w:r>
        <w:rPr>
          <w:rFonts w:ascii="宋体" w:hAnsi="宋体" w:eastAsia="宋体" w:cs="宋体"/>
          <w:b/>
          <w:bCs/>
          <w:color w:val="auto"/>
          <w:sz w:val="21"/>
          <w:szCs w:val="21"/>
        </w:rPr>
        <w:t>（3）减值准备计提情况</w:t>
      </w:r>
      <w:bookmarkEnd w:id="152"/>
    </w:p>
    <w:p w14:paraId="3182D6F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314A4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859FD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18C4B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8F3272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706D42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F58ADF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39075B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A45C89C">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32C65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E7DA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D4C7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5E3C68">
            <w:pPr>
              <w:rPr>
                <w:color w:val="auto"/>
              </w:rPr>
            </w:pPr>
          </w:p>
        </w:tc>
      </w:tr>
      <w:tr w14:paraId="6A6631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44BD9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2025年1月1日余额在本期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63B084A">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1166EB">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25C148">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E9D172">
            <w:pPr>
              <w:rPr>
                <w:color w:val="auto"/>
              </w:rPr>
            </w:pPr>
          </w:p>
        </w:tc>
      </w:tr>
    </w:tbl>
    <w:p w14:paraId="19FEFB9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各阶段划分依据和坏账准备计提比例</w:t>
      </w:r>
    </w:p>
    <w:p w14:paraId="2510DD57">
      <w:pPr>
        <w:keepNext/>
        <w:keepLines/>
        <w:spacing w:before="300" w:after="300" w:line="280" w:lineRule="exact"/>
        <w:jc w:val="left"/>
        <w:outlineLvl w:val="3"/>
        <w:rPr>
          <w:rFonts w:ascii="宋体" w:hAnsi="宋体" w:eastAsia="宋体" w:cs="宋体"/>
          <w:b/>
          <w:bCs/>
          <w:color w:val="auto"/>
          <w:sz w:val="21"/>
          <w:szCs w:val="21"/>
        </w:rPr>
      </w:pPr>
      <w:bookmarkStart w:id="153" w:name="_Toc989129"/>
      <w:r>
        <w:rPr>
          <w:rFonts w:ascii="宋体" w:hAnsi="宋体" w:eastAsia="宋体" w:cs="宋体"/>
          <w:b/>
          <w:bCs/>
          <w:color w:val="auto"/>
          <w:sz w:val="21"/>
          <w:szCs w:val="21"/>
        </w:rPr>
        <w:t>（4）本期实际核销的其他债权投资情况</w:t>
      </w:r>
      <w:bookmarkEnd w:id="153"/>
    </w:p>
    <w:p w14:paraId="06A4DC8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1AD9DF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7FA096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741BB9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19E6B46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其中重要的其他债权投资核销情况</w:t>
      </w:r>
    </w:p>
    <w:p w14:paraId="6409495E">
      <w:pPr>
        <w:spacing w:before="100" w:after="100" w:line="0" w:lineRule="exact"/>
        <w:jc w:val="left"/>
        <w:rPr>
          <w:color w:val="auto"/>
        </w:rPr>
      </w:pPr>
    </w:p>
    <w:p w14:paraId="04E66F2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损失准备本期变动金额重大的账面余额变动情况</w:t>
      </w:r>
    </w:p>
    <w:p w14:paraId="548BBD7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48519E2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AFF8489">
      <w:pPr>
        <w:keepNext/>
        <w:keepLines/>
        <w:spacing w:before="300" w:after="300" w:line="280" w:lineRule="exact"/>
        <w:jc w:val="left"/>
        <w:outlineLvl w:val="2"/>
        <w:rPr>
          <w:rFonts w:ascii="宋体" w:hAnsi="宋体" w:eastAsia="宋体" w:cs="宋体"/>
          <w:b/>
          <w:bCs/>
          <w:color w:val="auto"/>
          <w:sz w:val="21"/>
          <w:szCs w:val="21"/>
        </w:rPr>
      </w:pPr>
      <w:bookmarkStart w:id="154" w:name="_Toc989130"/>
      <w:r>
        <w:rPr>
          <w:rFonts w:ascii="宋体" w:hAnsi="宋体" w:eastAsia="宋体" w:cs="宋体"/>
          <w:b/>
          <w:bCs/>
          <w:color w:val="auto"/>
          <w:sz w:val="21"/>
          <w:szCs w:val="21"/>
        </w:rPr>
        <w:t>16、其他权益工具投资</w:t>
      </w:r>
      <w:bookmarkEnd w:id="154"/>
    </w:p>
    <w:p w14:paraId="4870026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65C373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A943D5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项目名称</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30024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C3562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本期计入其他综合收益的利得</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7C1734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本期计入其他综合收益的损失</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6ADC40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本期末累计计入其他综合收益的利得</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6DE4EC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本期末累计计入其他综合收益的损失</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94FED0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本期确认的股利收入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650C7A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DE794E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指定为以公允价值计量且其变动计入其他综合收益的原因</w:t>
            </w:r>
          </w:p>
        </w:tc>
      </w:tr>
    </w:tbl>
    <w:p w14:paraId="02D64DF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本期存在终止确认</w:t>
      </w:r>
    </w:p>
    <w:p w14:paraId="0D98F4F0">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3E7CB6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7D1C16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D8929E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转入留存收益的累计利得</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D31A33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转入留存收益的累计损失</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404643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终止确认的原因</w:t>
            </w:r>
          </w:p>
        </w:tc>
      </w:tr>
    </w:tbl>
    <w:p w14:paraId="7341763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分项披露本期非交易性权益工具投资</w:t>
      </w:r>
    </w:p>
    <w:p w14:paraId="0D0F973B">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D9939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87BB1B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F0AA7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确认的股利收入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9AF215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累计利得</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5CC893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累计损失</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8347A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其他综合收益转入留存收益的金额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078F67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指定为以公允价值计量且其变动计入其他综合收益的原因</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D4A7A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其他综合收益转入留存收益的原因</w:t>
            </w:r>
          </w:p>
        </w:tc>
      </w:tr>
    </w:tbl>
    <w:p w14:paraId="78B76F3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3EE8F25F">
      <w:pPr>
        <w:keepNext/>
        <w:keepLines/>
        <w:spacing w:before="300" w:after="300" w:line="280" w:lineRule="exact"/>
        <w:jc w:val="left"/>
        <w:outlineLvl w:val="2"/>
        <w:rPr>
          <w:rFonts w:ascii="宋体" w:hAnsi="宋体" w:eastAsia="宋体" w:cs="宋体"/>
          <w:b/>
          <w:bCs/>
          <w:color w:val="auto"/>
          <w:sz w:val="21"/>
          <w:szCs w:val="21"/>
        </w:rPr>
      </w:pPr>
      <w:bookmarkStart w:id="155" w:name="_Toc989131"/>
      <w:r>
        <w:rPr>
          <w:rFonts w:ascii="宋体" w:hAnsi="宋体" w:eastAsia="宋体" w:cs="宋体"/>
          <w:b/>
          <w:bCs/>
          <w:color w:val="auto"/>
          <w:sz w:val="21"/>
          <w:szCs w:val="21"/>
        </w:rPr>
        <w:t>17、长期应收款</w:t>
      </w:r>
      <w:bookmarkEnd w:id="155"/>
    </w:p>
    <w:p w14:paraId="701EA440">
      <w:pPr>
        <w:keepNext/>
        <w:keepLines/>
        <w:spacing w:before="300" w:after="300" w:line="280" w:lineRule="exact"/>
        <w:jc w:val="left"/>
        <w:outlineLvl w:val="3"/>
        <w:rPr>
          <w:rFonts w:ascii="宋体" w:hAnsi="宋体" w:eastAsia="宋体" w:cs="宋体"/>
          <w:b/>
          <w:bCs/>
          <w:color w:val="auto"/>
          <w:sz w:val="21"/>
          <w:szCs w:val="21"/>
        </w:rPr>
      </w:pPr>
      <w:bookmarkStart w:id="156" w:name="_Toc989132"/>
      <w:r>
        <w:rPr>
          <w:rFonts w:ascii="宋体" w:hAnsi="宋体" w:eastAsia="宋体" w:cs="宋体"/>
          <w:b/>
          <w:bCs/>
          <w:color w:val="auto"/>
          <w:sz w:val="21"/>
          <w:szCs w:val="21"/>
        </w:rPr>
        <w:t>（1）长期应收款情况</w:t>
      </w:r>
      <w:bookmarkEnd w:id="156"/>
    </w:p>
    <w:p w14:paraId="2A91A17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5"/>
        <w:gridCol w:w="1205"/>
        <w:gridCol w:w="1205"/>
        <w:gridCol w:w="1205"/>
        <w:gridCol w:w="1205"/>
        <w:gridCol w:w="1205"/>
        <w:gridCol w:w="1205"/>
        <w:gridCol w:w="1205"/>
      </w:tblGrid>
      <w:tr w14:paraId="65A3EE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4DF6F5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615"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703260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615"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AC02D5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D04C34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折现率区间</w:t>
            </w:r>
          </w:p>
        </w:tc>
      </w:tr>
      <w:tr w14:paraId="13D501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DBAA71B">
            <w:pPr>
              <w:rPr>
                <w:color w:val="auto"/>
              </w:rPr>
            </w:pP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4C867E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722D6DA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F2C389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926806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167C3C2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F41F7C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E4E98F8">
            <w:pPr>
              <w:rPr>
                <w:color w:val="auto"/>
              </w:rPr>
            </w:pPr>
          </w:p>
        </w:tc>
      </w:tr>
    </w:tbl>
    <w:p w14:paraId="09FB2F87">
      <w:pPr>
        <w:keepNext/>
        <w:keepLines/>
        <w:spacing w:before="300" w:after="300" w:line="280" w:lineRule="exact"/>
        <w:jc w:val="left"/>
        <w:outlineLvl w:val="3"/>
        <w:rPr>
          <w:rFonts w:ascii="宋体" w:hAnsi="宋体" w:eastAsia="宋体" w:cs="宋体"/>
          <w:b/>
          <w:bCs/>
          <w:color w:val="auto"/>
          <w:sz w:val="21"/>
          <w:szCs w:val="21"/>
        </w:rPr>
      </w:pPr>
      <w:bookmarkStart w:id="157" w:name="_Toc989133"/>
      <w:r>
        <w:rPr>
          <w:rFonts w:ascii="宋体" w:hAnsi="宋体" w:eastAsia="宋体" w:cs="宋体"/>
          <w:b/>
          <w:bCs/>
          <w:color w:val="auto"/>
          <w:sz w:val="21"/>
          <w:szCs w:val="21"/>
        </w:rPr>
        <w:t>（2）按坏账计提方法分类披露</w:t>
      </w:r>
      <w:bookmarkEnd w:id="157"/>
    </w:p>
    <w:p w14:paraId="24A14142">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33E428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056CED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2765839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D36E90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109CE2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FA3BB5F">
            <w:pPr>
              <w:rPr>
                <w:color w:val="auto"/>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84605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E10B68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1EAB3C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68A0C0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8CDFF7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813770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3A44CA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42EA08F">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242C0B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3A2D0A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0A667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2BDEFA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C2CAFBF">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E976EC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64FF98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7128B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0991E7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D07B713">
            <w:pPr>
              <w:rPr>
                <w:color w:val="auto"/>
              </w:rPr>
            </w:pPr>
          </w:p>
        </w:tc>
      </w:tr>
      <w:tr w14:paraId="288FA1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606AE4E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r>
      <w:tr w14:paraId="2AA11B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5D5764B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r>
    </w:tbl>
    <w:p w14:paraId="0CBE27F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按预期信用损失一般模型计提坏账准备</w:t>
      </w:r>
    </w:p>
    <w:p w14:paraId="362F62AD">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E7C65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2675FD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17BEA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3A251A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56A59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FBE07B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119BD5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CA91DF">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62CF6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587A9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9E139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1F596DF">
            <w:pPr>
              <w:rPr>
                <w:color w:val="auto"/>
              </w:rPr>
            </w:pPr>
          </w:p>
        </w:tc>
      </w:tr>
      <w:tr w14:paraId="4A696C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5C9315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2025年1月1日余额在本期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E7A4CC">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ACD0DA">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AF2195D">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D58BC1">
            <w:pPr>
              <w:rPr>
                <w:color w:val="auto"/>
              </w:rPr>
            </w:pPr>
          </w:p>
        </w:tc>
      </w:tr>
    </w:tbl>
    <w:p w14:paraId="262A25C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各阶段划分依据和坏账准备计提比例</w:t>
      </w:r>
    </w:p>
    <w:p w14:paraId="08CB81CE">
      <w:pPr>
        <w:keepNext/>
        <w:keepLines/>
        <w:spacing w:before="300" w:after="300" w:line="280" w:lineRule="exact"/>
        <w:jc w:val="left"/>
        <w:outlineLvl w:val="3"/>
        <w:rPr>
          <w:rFonts w:ascii="宋体" w:hAnsi="宋体" w:eastAsia="宋体" w:cs="宋体"/>
          <w:b/>
          <w:bCs/>
          <w:color w:val="auto"/>
          <w:sz w:val="21"/>
          <w:szCs w:val="21"/>
        </w:rPr>
      </w:pPr>
      <w:bookmarkStart w:id="158" w:name="_Toc989134"/>
      <w:r>
        <w:rPr>
          <w:rFonts w:ascii="宋体" w:hAnsi="宋体" w:eastAsia="宋体" w:cs="宋体"/>
          <w:b/>
          <w:bCs/>
          <w:color w:val="auto"/>
          <w:sz w:val="21"/>
          <w:szCs w:val="21"/>
        </w:rPr>
        <w:t>（3）本期计提、收回或转回的坏账准备的情况</w:t>
      </w:r>
      <w:bookmarkEnd w:id="158"/>
    </w:p>
    <w:p w14:paraId="1D8736F0">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76D62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EC955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54BD6B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632371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0D1AF1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083F19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3000F02">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2AC94D">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124C9B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6A138D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4E2B58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4EF21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AA94473">
            <w:pPr>
              <w:rPr>
                <w:color w:val="auto"/>
              </w:rPr>
            </w:pPr>
          </w:p>
        </w:tc>
      </w:tr>
    </w:tbl>
    <w:p w14:paraId="61CED6A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其中本期坏账准备转回或收回金额重要的：</w:t>
      </w:r>
    </w:p>
    <w:p w14:paraId="6776492F">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5CAA46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BD5C6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1A7BB8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3562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78DA4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1C80CF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51C5B67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E3CE47C">
      <w:pPr>
        <w:keepNext/>
        <w:keepLines/>
        <w:spacing w:before="300" w:after="300" w:line="280" w:lineRule="exact"/>
        <w:jc w:val="left"/>
        <w:outlineLvl w:val="3"/>
        <w:rPr>
          <w:rFonts w:ascii="宋体" w:hAnsi="宋体" w:eastAsia="宋体" w:cs="宋体"/>
          <w:b/>
          <w:bCs/>
          <w:color w:val="auto"/>
          <w:sz w:val="21"/>
          <w:szCs w:val="21"/>
        </w:rPr>
      </w:pPr>
      <w:bookmarkStart w:id="159" w:name="_Toc989135"/>
      <w:r>
        <w:rPr>
          <w:rFonts w:ascii="宋体" w:hAnsi="宋体" w:eastAsia="宋体" w:cs="宋体"/>
          <w:b/>
          <w:bCs/>
          <w:color w:val="auto"/>
          <w:sz w:val="21"/>
          <w:szCs w:val="21"/>
        </w:rPr>
        <w:t>（4）本期实际核销的长期应收款情况</w:t>
      </w:r>
      <w:bookmarkEnd w:id="159"/>
    </w:p>
    <w:p w14:paraId="6858CF2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64BC7A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3DE6C4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2249DD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2B1F0DD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其中重要的长期应收款核销情况：</w:t>
      </w:r>
    </w:p>
    <w:p w14:paraId="5202B54B">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4E866A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7D87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9B13E3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6D9A86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7F6C60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3D867A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213FCF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76D9B9D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长期应收款核销说明：</w:t>
      </w:r>
    </w:p>
    <w:p w14:paraId="00C90D39">
      <w:pPr>
        <w:keepNext/>
        <w:keepLines/>
        <w:spacing w:before="300" w:after="300" w:line="280" w:lineRule="exact"/>
        <w:jc w:val="left"/>
        <w:outlineLvl w:val="2"/>
        <w:rPr>
          <w:rFonts w:ascii="宋体" w:hAnsi="宋体" w:eastAsia="宋体" w:cs="宋体"/>
          <w:b/>
          <w:bCs/>
          <w:color w:val="auto"/>
          <w:sz w:val="21"/>
          <w:szCs w:val="21"/>
        </w:rPr>
      </w:pPr>
      <w:bookmarkStart w:id="160" w:name="_Toc989136"/>
      <w:r>
        <w:rPr>
          <w:rFonts w:ascii="宋体" w:hAnsi="宋体" w:eastAsia="宋体" w:cs="宋体"/>
          <w:b/>
          <w:bCs/>
          <w:color w:val="auto"/>
          <w:sz w:val="21"/>
          <w:szCs w:val="21"/>
        </w:rPr>
        <w:t>18、长期股权投资</w:t>
      </w:r>
      <w:bookmarkEnd w:id="160"/>
    </w:p>
    <w:p w14:paraId="7169EAF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6C32D0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721D6E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被投资单位</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DBDE46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F14784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减值准备期初余额</w:t>
            </w:r>
          </w:p>
        </w:tc>
        <w:tc>
          <w:tcPr>
            <w:tcW w:w="5932" w:type="dxa"/>
            <w:gridSpan w:val="8"/>
            <w:tcBorders>
              <w:top w:val="single" w:color="auto" w:sz="2" w:space="0"/>
              <w:left w:val="single" w:color="auto" w:sz="2" w:space="0"/>
              <w:bottom w:val="single" w:color="auto" w:sz="2" w:space="0"/>
              <w:right w:val="single" w:color="auto" w:sz="2" w:space="0"/>
            </w:tcBorders>
            <w:shd w:val="clear" w:color="auto" w:fill="D3D3D3"/>
            <w:vAlign w:val="center"/>
          </w:tcPr>
          <w:p w14:paraId="29158DE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本期增减变动</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673B3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5FBE3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减值准备期末余额</w:t>
            </w:r>
          </w:p>
        </w:tc>
      </w:tr>
      <w:tr w14:paraId="1359FD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1FEBBB9">
            <w:pPr>
              <w:rPr>
                <w:color w:val="auto"/>
              </w:rPr>
            </w:pP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8DE4A6">
            <w:pPr>
              <w:rPr>
                <w:color w:val="auto"/>
              </w:rPr>
            </w:pP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D1CBEF2">
            <w:pPr>
              <w:rPr>
                <w:color w:val="auto"/>
              </w:rPr>
            </w:pP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3063A7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追加投资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3579F6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减少投资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CD4731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权益法下确认的投资损益</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92F3D7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其他综合收益调整</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E3630A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其他权益变动</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68C5FC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宣告发放现金股利或利润</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1C68CA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计提减值准备</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5BFEB5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8F806EF">
            <w:pPr>
              <w:rPr>
                <w:color w:val="auto"/>
              </w:rPr>
            </w:pP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42831E2">
            <w:pPr>
              <w:rPr>
                <w:color w:val="auto"/>
              </w:rPr>
            </w:pPr>
          </w:p>
        </w:tc>
      </w:tr>
      <w:tr w14:paraId="2158D0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5EA2543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一、合营企业</w:t>
            </w:r>
          </w:p>
        </w:tc>
      </w:tr>
      <w:tr w14:paraId="4714B0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62EB369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二、联营企业</w:t>
            </w:r>
          </w:p>
        </w:tc>
      </w:tr>
      <w:tr w14:paraId="7BF79A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192824A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福建博奥医学检验所有限公司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5038D6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33,370,813.09</w:t>
            </w:r>
          </w:p>
        </w:tc>
        <w:tc>
          <w:tcPr>
            <w:tcW w:w="741" w:type="dxa"/>
            <w:tcBorders>
              <w:top w:val="single" w:color="auto" w:sz="2" w:space="0"/>
              <w:left w:val="single" w:color="auto" w:sz="2" w:space="0"/>
              <w:bottom w:val="single" w:color="auto" w:sz="2" w:space="0"/>
              <w:right w:val="single" w:color="auto" w:sz="2" w:space="0"/>
            </w:tcBorders>
            <w:vAlign w:val="center"/>
          </w:tcPr>
          <w:p w14:paraId="5F5F914D">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A7021B">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3E0DC6">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026D9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-2,719,261.11</w:t>
            </w:r>
          </w:p>
        </w:tc>
        <w:tc>
          <w:tcPr>
            <w:tcW w:w="741" w:type="dxa"/>
            <w:tcBorders>
              <w:top w:val="single" w:color="auto" w:sz="2" w:space="0"/>
              <w:left w:val="single" w:color="auto" w:sz="2" w:space="0"/>
              <w:bottom w:val="single" w:color="auto" w:sz="2" w:space="0"/>
              <w:right w:val="single" w:color="auto" w:sz="2" w:space="0"/>
            </w:tcBorders>
            <w:vAlign w:val="center"/>
          </w:tcPr>
          <w:p w14:paraId="584FC4E0">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116079">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973F6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E570141">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525FD1">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A4E0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30,651,551.98</w:t>
            </w:r>
          </w:p>
        </w:tc>
        <w:tc>
          <w:tcPr>
            <w:tcW w:w="741" w:type="dxa"/>
            <w:tcBorders>
              <w:top w:val="single" w:color="auto" w:sz="2" w:space="0"/>
              <w:left w:val="single" w:color="auto" w:sz="2" w:space="0"/>
              <w:bottom w:val="single" w:color="auto" w:sz="2" w:space="0"/>
              <w:right w:val="single" w:color="auto" w:sz="2" w:space="0"/>
            </w:tcBorders>
            <w:vAlign w:val="center"/>
          </w:tcPr>
          <w:p w14:paraId="582EF478">
            <w:pPr>
              <w:spacing w:before="0" w:after="0" w:line="240" w:lineRule="exact"/>
              <w:jc w:val="right"/>
              <w:rPr>
                <w:rFonts w:ascii="宋体" w:hAnsi="宋体" w:eastAsia="宋体" w:cs="宋体"/>
                <w:color w:val="auto"/>
                <w:sz w:val="18"/>
                <w:szCs w:val="18"/>
              </w:rPr>
            </w:pPr>
          </w:p>
        </w:tc>
      </w:tr>
      <w:tr w14:paraId="1D3012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0266772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福建广明方医药投资研发中心（有限合伙）</w:t>
            </w:r>
          </w:p>
        </w:tc>
        <w:tc>
          <w:tcPr>
            <w:tcW w:w="741" w:type="dxa"/>
            <w:tcBorders>
              <w:top w:val="single" w:color="auto" w:sz="2" w:space="0"/>
              <w:left w:val="single" w:color="auto" w:sz="2" w:space="0"/>
              <w:bottom w:val="single" w:color="auto" w:sz="2" w:space="0"/>
              <w:right w:val="single" w:color="auto" w:sz="2" w:space="0"/>
            </w:tcBorders>
            <w:vAlign w:val="center"/>
          </w:tcPr>
          <w:p w14:paraId="693B44A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40,000,532.62</w:t>
            </w:r>
          </w:p>
        </w:tc>
        <w:tc>
          <w:tcPr>
            <w:tcW w:w="741" w:type="dxa"/>
            <w:tcBorders>
              <w:top w:val="single" w:color="auto" w:sz="2" w:space="0"/>
              <w:left w:val="single" w:color="auto" w:sz="2" w:space="0"/>
              <w:bottom w:val="single" w:color="auto" w:sz="2" w:space="0"/>
              <w:right w:val="single" w:color="auto" w:sz="2" w:space="0"/>
            </w:tcBorders>
            <w:vAlign w:val="center"/>
          </w:tcPr>
          <w:p w14:paraId="75F5CBC1">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8B91782">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AEE703">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1CCF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89.00</w:t>
            </w:r>
          </w:p>
        </w:tc>
        <w:tc>
          <w:tcPr>
            <w:tcW w:w="741" w:type="dxa"/>
            <w:tcBorders>
              <w:top w:val="single" w:color="auto" w:sz="2" w:space="0"/>
              <w:left w:val="single" w:color="auto" w:sz="2" w:space="0"/>
              <w:bottom w:val="single" w:color="auto" w:sz="2" w:space="0"/>
              <w:right w:val="single" w:color="auto" w:sz="2" w:space="0"/>
            </w:tcBorders>
            <w:vAlign w:val="center"/>
          </w:tcPr>
          <w:p w14:paraId="11712A53">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19B335">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327E7B">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8E316BD">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50828D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1446F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40,000,621.62</w:t>
            </w:r>
          </w:p>
        </w:tc>
        <w:tc>
          <w:tcPr>
            <w:tcW w:w="741" w:type="dxa"/>
            <w:tcBorders>
              <w:top w:val="single" w:color="auto" w:sz="2" w:space="0"/>
              <w:left w:val="single" w:color="auto" w:sz="2" w:space="0"/>
              <w:bottom w:val="single" w:color="auto" w:sz="2" w:space="0"/>
              <w:right w:val="single" w:color="auto" w:sz="2" w:space="0"/>
            </w:tcBorders>
            <w:vAlign w:val="center"/>
          </w:tcPr>
          <w:p w14:paraId="1DA9C34E">
            <w:pPr>
              <w:spacing w:before="0" w:after="0" w:line="240" w:lineRule="exact"/>
              <w:jc w:val="right"/>
              <w:rPr>
                <w:rFonts w:ascii="宋体" w:hAnsi="宋体" w:eastAsia="宋体" w:cs="宋体"/>
                <w:color w:val="auto"/>
                <w:sz w:val="18"/>
                <w:szCs w:val="18"/>
              </w:rPr>
            </w:pPr>
          </w:p>
        </w:tc>
      </w:tr>
      <w:tr w14:paraId="060C65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FFAE0B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莆田博奥医学检验有限公司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4C97BDC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6,806,262.10</w:t>
            </w:r>
          </w:p>
        </w:tc>
        <w:tc>
          <w:tcPr>
            <w:tcW w:w="741" w:type="dxa"/>
            <w:tcBorders>
              <w:top w:val="single" w:color="auto" w:sz="2" w:space="0"/>
              <w:left w:val="single" w:color="auto" w:sz="2" w:space="0"/>
              <w:bottom w:val="single" w:color="auto" w:sz="2" w:space="0"/>
              <w:right w:val="single" w:color="auto" w:sz="2" w:space="0"/>
            </w:tcBorders>
            <w:vAlign w:val="center"/>
          </w:tcPr>
          <w:p w14:paraId="4B01FCA0">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7B8966">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A9B9D3">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9F2B0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2,329,442.61</w:t>
            </w:r>
          </w:p>
        </w:tc>
        <w:tc>
          <w:tcPr>
            <w:tcW w:w="741" w:type="dxa"/>
            <w:tcBorders>
              <w:top w:val="single" w:color="auto" w:sz="2" w:space="0"/>
              <w:left w:val="single" w:color="auto" w:sz="2" w:space="0"/>
              <w:bottom w:val="single" w:color="auto" w:sz="2" w:space="0"/>
              <w:right w:val="single" w:color="auto" w:sz="2" w:space="0"/>
            </w:tcBorders>
            <w:vAlign w:val="center"/>
          </w:tcPr>
          <w:p w14:paraId="688C6AC7">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6E1BBF">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95A90C">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19DAD4">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CFE742">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939D2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9,135,704.71</w:t>
            </w:r>
          </w:p>
        </w:tc>
        <w:tc>
          <w:tcPr>
            <w:tcW w:w="741" w:type="dxa"/>
            <w:tcBorders>
              <w:top w:val="single" w:color="auto" w:sz="2" w:space="0"/>
              <w:left w:val="single" w:color="auto" w:sz="2" w:space="0"/>
              <w:bottom w:val="single" w:color="auto" w:sz="2" w:space="0"/>
              <w:right w:val="single" w:color="auto" w:sz="2" w:space="0"/>
            </w:tcBorders>
            <w:vAlign w:val="center"/>
          </w:tcPr>
          <w:p w14:paraId="3D88C0AC">
            <w:pPr>
              <w:spacing w:before="0" w:after="0" w:line="240" w:lineRule="exact"/>
              <w:jc w:val="right"/>
              <w:rPr>
                <w:rFonts w:ascii="宋体" w:hAnsi="宋体" w:eastAsia="宋体" w:cs="宋体"/>
                <w:color w:val="auto"/>
                <w:sz w:val="18"/>
                <w:szCs w:val="18"/>
              </w:rPr>
            </w:pPr>
          </w:p>
        </w:tc>
      </w:tr>
      <w:tr w14:paraId="65CA85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C259FF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小计</w:t>
            </w:r>
          </w:p>
        </w:tc>
        <w:tc>
          <w:tcPr>
            <w:tcW w:w="741" w:type="dxa"/>
            <w:tcBorders>
              <w:top w:val="single" w:color="auto" w:sz="2" w:space="0"/>
              <w:left w:val="single" w:color="auto" w:sz="2" w:space="0"/>
              <w:bottom w:val="single" w:color="auto" w:sz="2" w:space="0"/>
              <w:right w:val="single" w:color="auto" w:sz="2" w:space="0"/>
            </w:tcBorders>
            <w:vAlign w:val="center"/>
          </w:tcPr>
          <w:p w14:paraId="0C5AC5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80,177,607.81</w:t>
            </w:r>
          </w:p>
        </w:tc>
        <w:tc>
          <w:tcPr>
            <w:tcW w:w="741" w:type="dxa"/>
            <w:tcBorders>
              <w:top w:val="single" w:color="auto" w:sz="2" w:space="0"/>
              <w:left w:val="single" w:color="auto" w:sz="2" w:space="0"/>
              <w:bottom w:val="single" w:color="auto" w:sz="2" w:space="0"/>
              <w:right w:val="single" w:color="auto" w:sz="2" w:space="0"/>
            </w:tcBorders>
            <w:vAlign w:val="center"/>
          </w:tcPr>
          <w:p w14:paraId="6A3ACE03">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98412E">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74084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8A9FE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741" w:type="dxa"/>
            <w:tcBorders>
              <w:top w:val="single" w:color="auto" w:sz="2" w:space="0"/>
              <w:left w:val="single" w:color="auto" w:sz="2" w:space="0"/>
              <w:bottom w:val="single" w:color="auto" w:sz="2" w:space="0"/>
              <w:right w:val="single" w:color="auto" w:sz="2" w:space="0"/>
            </w:tcBorders>
            <w:vAlign w:val="center"/>
          </w:tcPr>
          <w:p w14:paraId="08D1FA5E">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DBAE81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73FDA9">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3BDEE0">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E92437C">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65C8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79,787,878.31</w:t>
            </w:r>
          </w:p>
        </w:tc>
        <w:tc>
          <w:tcPr>
            <w:tcW w:w="741" w:type="dxa"/>
            <w:tcBorders>
              <w:top w:val="single" w:color="auto" w:sz="2" w:space="0"/>
              <w:left w:val="single" w:color="auto" w:sz="2" w:space="0"/>
              <w:bottom w:val="single" w:color="auto" w:sz="2" w:space="0"/>
              <w:right w:val="single" w:color="auto" w:sz="2" w:space="0"/>
            </w:tcBorders>
            <w:vAlign w:val="center"/>
          </w:tcPr>
          <w:p w14:paraId="5E305904">
            <w:pPr>
              <w:spacing w:before="0" w:after="0" w:line="240" w:lineRule="exact"/>
              <w:jc w:val="right"/>
              <w:rPr>
                <w:rFonts w:ascii="宋体" w:hAnsi="宋体" w:eastAsia="宋体" w:cs="宋体"/>
                <w:color w:val="auto"/>
                <w:sz w:val="18"/>
                <w:szCs w:val="18"/>
              </w:rPr>
            </w:pPr>
          </w:p>
        </w:tc>
      </w:tr>
      <w:tr w14:paraId="1EB764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DCFCDF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741" w:type="dxa"/>
            <w:tcBorders>
              <w:top w:val="single" w:color="auto" w:sz="2" w:space="0"/>
              <w:left w:val="single" w:color="auto" w:sz="2" w:space="0"/>
              <w:bottom w:val="single" w:color="auto" w:sz="2" w:space="0"/>
              <w:right w:val="single" w:color="auto" w:sz="2" w:space="0"/>
            </w:tcBorders>
            <w:vAlign w:val="center"/>
          </w:tcPr>
          <w:p w14:paraId="62D5E46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80,177,607.81</w:t>
            </w:r>
          </w:p>
        </w:tc>
        <w:tc>
          <w:tcPr>
            <w:tcW w:w="741" w:type="dxa"/>
            <w:tcBorders>
              <w:top w:val="single" w:color="auto" w:sz="2" w:space="0"/>
              <w:left w:val="single" w:color="auto" w:sz="2" w:space="0"/>
              <w:bottom w:val="single" w:color="auto" w:sz="2" w:space="0"/>
              <w:right w:val="single" w:color="auto" w:sz="2" w:space="0"/>
            </w:tcBorders>
            <w:vAlign w:val="center"/>
          </w:tcPr>
          <w:p w14:paraId="1235BD6E">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73A4733">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443BE2">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59625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741" w:type="dxa"/>
            <w:tcBorders>
              <w:top w:val="single" w:color="auto" w:sz="2" w:space="0"/>
              <w:left w:val="single" w:color="auto" w:sz="2" w:space="0"/>
              <w:bottom w:val="single" w:color="auto" w:sz="2" w:space="0"/>
              <w:right w:val="single" w:color="auto" w:sz="2" w:space="0"/>
            </w:tcBorders>
            <w:vAlign w:val="center"/>
          </w:tcPr>
          <w:p w14:paraId="4BF433D2">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AF23C9">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662DA3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E9DC7C3">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20C49B">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BA9AC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79,787,878.31</w:t>
            </w:r>
          </w:p>
        </w:tc>
        <w:tc>
          <w:tcPr>
            <w:tcW w:w="741" w:type="dxa"/>
            <w:tcBorders>
              <w:top w:val="single" w:color="auto" w:sz="2" w:space="0"/>
              <w:left w:val="single" w:color="auto" w:sz="2" w:space="0"/>
              <w:bottom w:val="single" w:color="auto" w:sz="2" w:space="0"/>
              <w:right w:val="single" w:color="auto" w:sz="2" w:space="0"/>
            </w:tcBorders>
            <w:vAlign w:val="center"/>
          </w:tcPr>
          <w:p w14:paraId="77C26F4E">
            <w:pPr>
              <w:spacing w:before="0" w:after="0" w:line="240" w:lineRule="exact"/>
              <w:jc w:val="right"/>
              <w:rPr>
                <w:rFonts w:ascii="宋体" w:hAnsi="宋体" w:eastAsia="宋体" w:cs="宋体"/>
                <w:color w:val="auto"/>
                <w:sz w:val="18"/>
                <w:szCs w:val="18"/>
              </w:rPr>
            </w:pPr>
          </w:p>
        </w:tc>
      </w:tr>
    </w:tbl>
    <w:p w14:paraId="5B4BD86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可收回金额按公允价值减去处置费用后的净额确定</w:t>
      </w:r>
    </w:p>
    <w:p w14:paraId="35EE82F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45C1F02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可收回金额按预计未来现金流量的现值确定</w:t>
      </w:r>
    </w:p>
    <w:p w14:paraId="5C41530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1F8A7B3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前述信息与以前年度减值测试采用的信息或外部信息明显不一致的差异原因</w:t>
      </w:r>
    </w:p>
    <w:p w14:paraId="57A92F5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公司以前年度减值测试采用信息与当年实际情况明显不一致的差异原因</w:t>
      </w:r>
    </w:p>
    <w:p w14:paraId="30970C3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B8B8A3D">
      <w:pPr>
        <w:keepNext/>
        <w:keepLines/>
        <w:spacing w:before="300" w:after="300" w:line="280" w:lineRule="exact"/>
        <w:jc w:val="left"/>
        <w:outlineLvl w:val="2"/>
        <w:rPr>
          <w:rFonts w:ascii="宋体" w:hAnsi="宋体" w:eastAsia="宋体" w:cs="宋体"/>
          <w:b/>
          <w:bCs/>
          <w:color w:val="auto"/>
          <w:sz w:val="21"/>
          <w:szCs w:val="21"/>
        </w:rPr>
      </w:pPr>
      <w:bookmarkStart w:id="161" w:name="_Toc989137"/>
      <w:r>
        <w:rPr>
          <w:rFonts w:ascii="宋体" w:hAnsi="宋体" w:eastAsia="宋体" w:cs="宋体"/>
          <w:b/>
          <w:bCs/>
          <w:color w:val="auto"/>
          <w:sz w:val="21"/>
          <w:szCs w:val="21"/>
        </w:rPr>
        <w:t>19、其他非流动金融资产</w:t>
      </w:r>
      <w:bookmarkEnd w:id="161"/>
    </w:p>
    <w:p w14:paraId="0DB3E63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D6CDC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B832A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C670A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867A7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52CF4E6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C3E98AE">
      <w:pPr>
        <w:keepNext/>
        <w:keepLines/>
        <w:spacing w:before="300" w:after="300" w:line="280" w:lineRule="exact"/>
        <w:jc w:val="left"/>
        <w:outlineLvl w:val="2"/>
        <w:rPr>
          <w:rFonts w:ascii="宋体" w:hAnsi="宋体" w:eastAsia="宋体" w:cs="宋体"/>
          <w:b/>
          <w:bCs/>
          <w:color w:val="auto"/>
          <w:sz w:val="21"/>
          <w:szCs w:val="21"/>
        </w:rPr>
      </w:pPr>
      <w:bookmarkStart w:id="162" w:name="_Toc989138"/>
      <w:r>
        <w:rPr>
          <w:rFonts w:ascii="宋体" w:hAnsi="宋体" w:eastAsia="宋体" w:cs="宋体"/>
          <w:b/>
          <w:bCs/>
          <w:color w:val="auto"/>
          <w:sz w:val="21"/>
          <w:szCs w:val="21"/>
        </w:rPr>
        <w:t>20、投资性房地产</w:t>
      </w:r>
      <w:bookmarkEnd w:id="162"/>
    </w:p>
    <w:p w14:paraId="377CA92F">
      <w:pPr>
        <w:keepNext/>
        <w:keepLines/>
        <w:spacing w:before="300" w:after="300" w:line="280" w:lineRule="exact"/>
        <w:jc w:val="left"/>
        <w:outlineLvl w:val="3"/>
        <w:rPr>
          <w:rFonts w:ascii="宋体" w:hAnsi="宋体" w:eastAsia="宋体" w:cs="宋体"/>
          <w:b/>
          <w:bCs/>
          <w:color w:val="auto"/>
          <w:sz w:val="18"/>
          <w:szCs w:val="18"/>
        </w:rPr>
      </w:pPr>
      <w:bookmarkStart w:id="163" w:name="_Toc989139"/>
      <w:r>
        <w:rPr>
          <w:rFonts w:ascii="宋体" w:hAnsi="宋体" w:eastAsia="宋体" w:cs="宋体"/>
          <w:b/>
          <w:bCs/>
          <w:color w:val="auto"/>
          <w:sz w:val="18"/>
          <w:szCs w:val="18"/>
        </w:rPr>
        <w:t>（1）采用成本计量模式的投资性房地产</w:t>
      </w:r>
      <w:bookmarkEnd w:id="163"/>
    </w:p>
    <w:p w14:paraId="261B4FD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03ADEF7F">
      <w:pPr>
        <w:keepNext/>
        <w:keepLines/>
        <w:spacing w:before="300" w:after="300" w:line="280" w:lineRule="exact"/>
        <w:jc w:val="left"/>
        <w:outlineLvl w:val="3"/>
        <w:rPr>
          <w:rFonts w:ascii="宋体" w:hAnsi="宋体" w:eastAsia="宋体" w:cs="宋体"/>
          <w:b/>
          <w:bCs/>
          <w:color w:val="auto"/>
          <w:sz w:val="18"/>
          <w:szCs w:val="18"/>
        </w:rPr>
      </w:pPr>
      <w:bookmarkStart w:id="164" w:name="_Toc989140"/>
      <w:r>
        <w:rPr>
          <w:rFonts w:ascii="宋体" w:hAnsi="宋体" w:eastAsia="宋体" w:cs="宋体"/>
          <w:b/>
          <w:bCs/>
          <w:color w:val="auto"/>
          <w:sz w:val="18"/>
          <w:szCs w:val="18"/>
        </w:rPr>
        <w:t>（2）采用公允价值计量模式的投资性房地产</w:t>
      </w:r>
      <w:bookmarkEnd w:id="164"/>
    </w:p>
    <w:p w14:paraId="524502B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6C30C8AE">
      <w:pPr>
        <w:keepNext/>
        <w:keepLines/>
        <w:spacing w:before="300" w:after="300" w:line="280" w:lineRule="exact"/>
        <w:jc w:val="left"/>
        <w:outlineLvl w:val="3"/>
        <w:rPr>
          <w:rFonts w:ascii="宋体" w:hAnsi="宋体" w:eastAsia="宋体" w:cs="宋体"/>
          <w:b/>
          <w:bCs/>
          <w:color w:val="auto"/>
          <w:sz w:val="18"/>
          <w:szCs w:val="18"/>
        </w:rPr>
      </w:pPr>
      <w:bookmarkStart w:id="165" w:name="_Toc989141"/>
      <w:r>
        <w:rPr>
          <w:rFonts w:ascii="宋体" w:hAnsi="宋体" w:eastAsia="宋体" w:cs="宋体"/>
          <w:b/>
          <w:bCs/>
          <w:color w:val="auto"/>
          <w:sz w:val="18"/>
          <w:szCs w:val="18"/>
        </w:rPr>
        <w:t>（3）转换为投资性房地产并采用公允价值计量</w:t>
      </w:r>
      <w:bookmarkEnd w:id="165"/>
    </w:p>
    <w:p w14:paraId="24C1C1D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BA1EE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530CE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2C11B5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转换前核算科目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51340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BF34E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转换理由</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619B79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审批程序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B681D5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对损益的影响</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4C653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对其他综合收益的影响</w:t>
            </w:r>
          </w:p>
        </w:tc>
      </w:tr>
    </w:tbl>
    <w:p w14:paraId="73544387">
      <w:pPr>
        <w:keepNext/>
        <w:keepLines/>
        <w:spacing w:before="300" w:after="300" w:line="280" w:lineRule="exact"/>
        <w:jc w:val="left"/>
        <w:outlineLvl w:val="3"/>
        <w:rPr>
          <w:rFonts w:ascii="宋体" w:hAnsi="宋体" w:eastAsia="宋体" w:cs="宋体"/>
          <w:b/>
          <w:bCs/>
          <w:color w:val="auto"/>
          <w:sz w:val="18"/>
          <w:szCs w:val="18"/>
        </w:rPr>
      </w:pPr>
      <w:bookmarkStart w:id="166" w:name="_Toc989142"/>
      <w:r>
        <w:rPr>
          <w:rFonts w:ascii="宋体" w:hAnsi="宋体" w:eastAsia="宋体" w:cs="宋体"/>
          <w:b/>
          <w:bCs/>
          <w:color w:val="auto"/>
          <w:sz w:val="18"/>
          <w:szCs w:val="18"/>
        </w:rPr>
        <w:t>（4）未办妥产权证书的投资性房地产情况</w:t>
      </w:r>
      <w:bookmarkEnd w:id="166"/>
    </w:p>
    <w:p w14:paraId="12C3871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D280B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7900A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4549D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B6F87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未办妥产权证书原因</w:t>
            </w:r>
          </w:p>
        </w:tc>
      </w:tr>
    </w:tbl>
    <w:p w14:paraId="56C747B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F299ECA">
      <w:pPr>
        <w:keepNext/>
        <w:keepLines/>
        <w:spacing w:before="300" w:after="300" w:line="280" w:lineRule="exact"/>
        <w:jc w:val="left"/>
        <w:outlineLvl w:val="2"/>
        <w:rPr>
          <w:rFonts w:ascii="宋体" w:hAnsi="宋体" w:eastAsia="宋体" w:cs="宋体"/>
          <w:b/>
          <w:bCs/>
          <w:color w:val="auto"/>
          <w:sz w:val="21"/>
          <w:szCs w:val="21"/>
        </w:rPr>
      </w:pPr>
      <w:bookmarkStart w:id="167" w:name="_Toc989143"/>
      <w:r>
        <w:rPr>
          <w:rFonts w:ascii="宋体" w:hAnsi="宋体" w:eastAsia="宋体" w:cs="宋体"/>
          <w:b/>
          <w:bCs/>
          <w:color w:val="auto"/>
          <w:sz w:val="21"/>
          <w:szCs w:val="21"/>
        </w:rPr>
        <w:t>21、固定资产</w:t>
      </w:r>
      <w:bookmarkEnd w:id="167"/>
    </w:p>
    <w:p w14:paraId="0D968EB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15616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30D99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A46B9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192A2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3AE4CA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08656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25D438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538,636,873.39</w:t>
            </w:r>
          </w:p>
        </w:tc>
        <w:tc>
          <w:tcPr>
            <w:tcW w:w="3213" w:type="dxa"/>
            <w:tcBorders>
              <w:top w:val="single" w:color="auto" w:sz="2" w:space="0"/>
              <w:left w:val="single" w:color="auto" w:sz="2" w:space="0"/>
              <w:bottom w:val="single" w:color="auto" w:sz="2" w:space="0"/>
              <w:right w:val="single" w:color="auto" w:sz="2" w:space="0"/>
            </w:tcBorders>
            <w:vAlign w:val="center"/>
          </w:tcPr>
          <w:p w14:paraId="512B72D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558,261,569.72</w:t>
            </w:r>
          </w:p>
        </w:tc>
      </w:tr>
      <w:tr w14:paraId="575DCE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16DEE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9751F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538,636,873.39</w:t>
            </w:r>
          </w:p>
        </w:tc>
        <w:tc>
          <w:tcPr>
            <w:tcW w:w="3213" w:type="dxa"/>
            <w:tcBorders>
              <w:top w:val="single" w:color="auto" w:sz="2" w:space="0"/>
              <w:left w:val="single" w:color="auto" w:sz="2" w:space="0"/>
              <w:bottom w:val="single" w:color="auto" w:sz="2" w:space="0"/>
              <w:right w:val="single" w:color="auto" w:sz="2" w:space="0"/>
            </w:tcBorders>
            <w:vAlign w:val="center"/>
          </w:tcPr>
          <w:p w14:paraId="4B6C33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558,261,569.72</w:t>
            </w:r>
          </w:p>
        </w:tc>
      </w:tr>
    </w:tbl>
    <w:p w14:paraId="56592191">
      <w:pPr>
        <w:keepNext/>
        <w:keepLines/>
        <w:spacing w:before="300" w:after="300" w:line="280" w:lineRule="exact"/>
        <w:jc w:val="left"/>
        <w:outlineLvl w:val="3"/>
        <w:rPr>
          <w:rFonts w:ascii="宋体" w:hAnsi="宋体" w:eastAsia="宋体" w:cs="宋体"/>
          <w:b/>
          <w:bCs/>
          <w:color w:val="auto"/>
          <w:sz w:val="21"/>
          <w:szCs w:val="21"/>
        </w:rPr>
      </w:pPr>
      <w:bookmarkStart w:id="168" w:name="_Toc989144"/>
      <w:r>
        <w:rPr>
          <w:rFonts w:ascii="宋体" w:hAnsi="宋体" w:eastAsia="宋体" w:cs="宋体"/>
          <w:b/>
          <w:bCs/>
          <w:color w:val="auto"/>
          <w:sz w:val="21"/>
          <w:szCs w:val="21"/>
        </w:rPr>
        <w:t>（1）固定资产情况</w:t>
      </w:r>
      <w:bookmarkEnd w:id="168"/>
    </w:p>
    <w:p w14:paraId="5DB87D1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6040B8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A8373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606" w:type="dxa"/>
            <w:tcBorders>
              <w:top w:val="single" w:color="auto" w:sz="2" w:space="0"/>
              <w:left w:val="single" w:color="auto" w:sz="2" w:space="0"/>
              <w:bottom w:val="single" w:color="auto" w:sz="2" w:space="0"/>
              <w:right w:val="single" w:color="auto" w:sz="2" w:space="0"/>
            </w:tcBorders>
            <w:vAlign w:val="center"/>
          </w:tcPr>
          <w:p w14:paraId="13B97078">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房屋建筑物</w:t>
            </w:r>
          </w:p>
        </w:tc>
        <w:tc>
          <w:tcPr>
            <w:tcW w:w="1606" w:type="dxa"/>
            <w:tcBorders>
              <w:top w:val="single" w:color="auto" w:sz="2" w:space="0"/>
              <w:left w:val="single" w:color="auto" w:sz="2" w:space="0"/>
              <w:bottom w:val="single" w:color="auto" w:sz="2" w:space="0"/>
              <w:right w:val="single" w:color="auto" w:sz="2" w:space="0"/>
            </w:tcBorders>
            <w:vAlign w:val="center"/>
          </w:tcPr>
          <w:p w14:paraId="4C62CDB6">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生产设备</w:t>
            </w:r>
          </w:p>
        </w:tc>
        <w:tc>
          <w:tcPr>
            <w:tcW w:w="1606" w:type="dxa"/>
            <w:tcBorders>
              <w:top w:val="single" w:color="auto" w:sz="2" w:space="0"/>
              <w:left w:val="single" w:color="auto" w:sz="2" w:space="0"/>
              <w:bottom w:val="single" w:color="auto" w:sz="2" w:space="0"/>
              <w:right w:val="single" w:color="auto" w:sz="2" w:space="0"/>
            </w:tcBorders>
            <w:vAlign w:val="center"/>
          </w:tcPr>
          <w:p w14:paraId="6EF8F176">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办公设备</w:t>
            </w:r>
          </w:p>
        </w:tc>
        <w:tc>
          <w:tcPr>
            <w:tcW w:w="1606" w:type="dxa"/>
            <w:tcBorders>
              <w:top w:val="single" w:color="auto" w:sz="2" w:space="0"/>
              <w:left w:val="single" w:color="auto" w:sz="2" w:space="0"/>
              <w:bottom w:val="single" w:color="auto" w:sz="2" w:space="0"/>
              <w:right w:val="single" w:color="auto" w:sz="2" w:space="0"/>
            </w:tcBorders>
            <w:vAlign w:val="center"/>
          </w:tcPr>
          <w:p w14:paraId="4040B06D">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运输设备</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88F4C6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7D05B0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35119E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一、账面原值：</w:t>
            </w:r>
          </w:p>
        </w:tc>
        <w:tc>
          <w:tcPr>
            <w:tcW w:w="1606" w:type="dxa"/>
            <w:tcBorders>
              <w:top w:val="single" w:color="auto" w:sz="2" w:space="0"/>
              <w:left w:val="single" w:color="auto" w:sz="2" w:space="0"/>
              <w:bottom w:val="single" w:color="auto" w:sz="2" w:space="0"/>
              <w:right w:val="single" w:color="auto" w:sz="2" w:space="0"/>
            </w:tcBorders>
            <w:vAlign w:val="center"/>
          </w:tcPr>
          <w:p w14:paraId="4519CAB7">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BB5A59E">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2CE525E">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0DABAD9">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662F828">
            <w:pPr>
              <w:spacing w:before="0" w:after="0" w:line="240" w:lineRule="exact"/>
              <w:jc w:val="right"/>
              <w:rPr>
                <w:rFonts w:ascii="宋体" w:hAnsi="宋体" w:eastAsia="宋体" w:cs="宋体"/>
                <w:color w:val="auto"/>
                <w:sz w:val="18"/>
                <w:szCs w:val="18"/>
              </w:rPr>
            </w:pPr>
          </w:p>
        </w:tc>
      </w:tr>
      <w:tr w14:paraId="616144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2D76610">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1.期初余额</w:t>
            </w:r>
          </w:p>
        </w:tc>
        <w:tc>
          <w:tcPr>
            <w:tcW w:w="1606" w:type="dxa"/>
            <w:tcBorders>
              <w:top w:val="single" w:color="auto" w:sz="2" w:space="0"/>
              <w:left w:val="single" w:color="auto" w:sz="2" w:space="0"/>
              <w:bottom w:val="single" w:color="auto" w:sz="2" w:space="0"/>
              <w:right w:val="single" w:color="auto" w:sz="2" w:space="0"/>
            </w:tcBorders>
            <w:vAlign w:val="center"/>
          </w:tcPr>
          <w:p w14:paraId="2FEB16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565,953,135.16</w:t>
            </w:r>
          </w:p>
        </w:tc>
        <w:tc>
          <w:tcPr>
            <w:tcW w:w="1606" w:type="dxa"/>
            <w:tcBorders>
              <w:top w:val="single" w:color="auto" w:sz="2" w:space="0"/>
              <w:left w:val="single" w:color="auto" w:sz="2" w:space="0"/>
              <w:bottom w:val="single" w:color="auto" w:sz="2" w:space="0"/>
              <w:right w:val="single" w:color="auto" w:sz="2" w:space="0"/>
            </w:tcBorders>
            <w:vAlign w:val="center"/>
          </w:tcPr>
          <w:p w14:paraId="4754D0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242,079,690.61</w:t>
            </w:r>
          </w:p>
        </w:tc>
        <w:tc>
          <w:tcPr>
            <w:tcW w:w="1606" w:type="dxa"/>
            <w:tcBorders>
              <w:top w:val="single" w:color="auto" w:sz="2" w:space="0"/>
              <w:left w:val="single" w:color="auto" w:sz="2" w:space="0"/>
              <w:bottom w:val="single" w:color="auto" w:sz="2" w:space="0"/>
              <w:right w:val="single" w:color="auto" w:sz="2" w:space="0"/>
            </w:tcBorders>
            <w:vAlign w:val="center"/>
          </w:tcPr>
          <w:p w14:paraId="5E9222E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21,757,263.15</w:t>
            </w:r>
          </w:p>
        </w:tc>
        <w:tc>
          <w:tcPr>
            <w:tcW w:w="1606" w:type="dxa"/>
            <w:tcBorders>
              <w:top w:val="single" w:color="auto" w:sz="2" w:space="0"/>
              <w:left w:val="single" w:color="auto" w:sz="2" w:space="0"/>
              <w:bottom w:val="single" w:color="auto" w:sz="2" w:space="0"/>
              <w:right w:val="single" w:color="auto" w:sz="2" w:space="0"/>
            </w:tcBorders>
            <w:vAlign w:val="center"/>
          </w:tcPr>
          <w:p w14:paraId="14CF4A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7,716,150.77</w:t>
            </w:r>
          </w:p>
        </w:tc>
        <w:tc>
          <w:tcPr>
            <w:tcW w:w="1606" w:type="dxa"/>
            <w:tcBorders>
              <w:top w:val="single" w:color="auto" w:sz="2" w:space="0"/>
              <w:left w:val="single" w:color="auto" w:sz="2" w:space="0"/>
              <w:bottom w:val="single" w:color="auto" w:sz="2" w:space="0"/>
              <w:right w:val="single" w:color="auto" w:sz="2" w:space="0"/>
            </w:tcBorders>
            <w:vAlign w:val="center"/>
          </w:tcPr>
          <w:p w14:paraId="13A9057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837,506,239.69</w:t>
            </w:r>
          </w:p>
        </w:tc>
      </w:tr>
      <w:tr w14:paraId="6DFDE2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5780FB9">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2.本期增加金额</w:t>
            </w:r>
          </w:p>
        </w:tc>
        <w:tc>
          <w:tcPr>
            <w:tcW w:w="1606" w:type="dxa"/>
            <w:tcBorders>
              <w:top w:val="single" w:color="auto" w:sz="2" w:space="0"/>
              <w:left w:val="single" w:color="auto" w:sz="2" w:space="0"/>
              <w:bottom w:val="single" w:color="auto" w:sz="2" w:space="0"/>
              <w:right w:val="single" w:color="auto" w:sz="2" w:space="0"/>
            </w:tcBorders>
            <w:vAlign w:val="center"/>
          </w:tcPr>
          <w:p w14:paraId="4F2F485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-48,080.68</w:t>
            </w:r>
          </w:p>
        </w:tc>
        <w:tc>
          <w:tcPr>
            <w:tcW w:w="1606" w:type="dxa"/>
            <w:tcBorders>
              <w:top w:val="single" w:color="auto" w:sz="2" w:space="0"/>
              <w:left w:val="single" w:color="auto" w:sz="2" w:space="0"/>
              <w:bottom w:val="single" w:color="auto" w:sz="2" w:space="0"/>
              <w:right w:val="single" w:color="auto" w:sz="2" w:space="0"/>
            </w:tcBorders>
            <w:vAlign w:val="center"/>
          </w:tcPr>
          <w:p w14:paraId="22E90B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5,378,700.74</w:t>
            </w:r>
          </w:p>
        </w:tc>
        <w:tc>
          <w:tcPr>
            <w:tcW w:w="1606" w:type="dxa"/>
            <w:tcBorders>
              <w:top w:val="single" w:color="auto" w:sz="2" w:space="0"/>
              <w:left w:val="single" w:color="auto" w:sz="2" w:space="0"/>
              <w:bottom w:val="single" w:color="auto" w:sz="2" w:space="0"/>
              <w:right w:val="single" w:color="auto" w:sz="2" w:space="0"/>
            </w:tcBorders>
            <w:vAlign w:val="center"/>
          </w:tcPr>
          <w:p w14:paraId="33490C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357,017.40</w:t>
            </w:r>
          </w:p>
        </w:tc>
        <w:tc>
          <w:tcPr>
            <w:tcW w:w="1606" w:type="dxa"/>
            <w:tcBorders>
              <w:top w:val="single" w:color="auto" w:sz="2" w:space="0"/>
              <w:left w:val="single" w:color="auto" w:sz="2" w:space="0"/>
              <w:bottom w:val="single" w:color="auto" w:sz="2" w:space="0"/>
              <w:right w:val="single" w:color="auto" w:sz="2" w:space="0"/>
            </w:tcBorders>
            <w:vAlign w:val="center"/>
          </w:tcPr>
          <w:p w14:paraId="382502E9">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E5C8D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5,687,637.46</w:t>
            </w:r>
          </w:p>
        </w:tc>
      </w:tr>
      <w:tr w14:paraId="4A66BE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531F211">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（1）购置</w:t>
            </w:r>
          </w:p>
        </w:tc>
        <w:tc>
          <w:tcPr>
            <w:tcW w:w="1606" w:type="dxa"/>
            <w:tcBorders>
              <w:top w:val="single" w:color="auto" w:sz="2" w:space="0"/>
              <w:left w:val="single" w:color="auto" w:sz="2" w:space="0"/>
              <w:bottom w:val="single" w:color="auto" w:sz="2" w:space="0"/>
              <w:right w:val="single" w:color="auto" w:sz="2" w:space="0"/>
            </w:tcBorders>
            <w:vAlign w:val="center"/>
          </w:tcPr>
          <w:p w14:paraId="03DBB5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1606" w:type="dxa"/>
            <w:tcBorders>
              <w:top w:val="single" w:color="auto" w:sz="2" w:space="0"/>
              <w:left w:val="single" w:color="auto" w:sz="2" w:space="0"/>
              <w:bottom w:val="single" w:color="auto" w:sz="2" w:space="0"/>
              <w:right w:val="single" w:color="auto" w:sz="2" w:space="0"/>
            </w:tcBorders>
            <w:vAlign w:val="center"/>
          </w:tcPr>
          <w:p w14:paraId="451322F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191,415.08</w:t>
            </w:r>
          </w:p>
        </w:tc>
        <w:tc>
          <w:tcPr>
            <w:tcW w:w="1606" w:type="dxa"/>
            <w:tcBorders>
              <w:top w:val="single" w:color="auto" w:sz="2" w:space="0"/>
              <w:left w:val="single" w:color="auto" w:sz="2" w:space="0"/>
              <w:bottom w:val="single" w:color="auto" w:sz="2" w:space="0"/>
              <w:right w:val="single" w:color="auto" w:sz="2" w:space="0"/>
            </w:tcBorders>
            <w:vAlign w:val="center"/>
          </w:tcPr>
          <w:p w14:paraId="11807B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145,245.14</w:t>
            </w:r>
          </w:p>
        </w:tc>
        <w:tc>
          <w:tcPr>
            <w:tcW w:w="1606" w:type="dxa"/>
            <w:tcBorders>
              <w:top w:val="single" w:color="auto" w:sz="2" w:space="0"/>
              <w:left w:val="single" w:color="auto" w:sz="2" w:space="0"/>
              <w:bottom w:val="single" w:color="auto" w:sz="2" w:space="0"/>
              <w:right w:val="single" w:color="auto" w:sz="2" w:space="0"/>
            </w:tcBorders>
            <w:vAlign w:val="center"/>
          </w:tcPr>
          <w:p w14:paraId="59B909A9">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A65DA3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336,660.22</w:t>
            </w:r>
          </w:p>
        </w:tc>
      </w:tr>
      <w:tr w14:paraId="0B81CA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F55421">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（2）在建工程转入</w:t>
            </w:r>
          </w:p>
        </w:tc>
        <w:tc>
          <w:tcPr>
            <w:tcW w:w="1606" w:type="dxa"/>
            <w:tcBorders>
              <w:top w:val="single" w:color="auto" w:sz="2" w:space="0"/>
              <w:left w:val="single" w:color="auto" w:sz="2" w:space="0"/>
              <w:bottom w:val="single" w:color="auto" w:sz="2" w:space="0"/>
              <w:right w:val="single" w:color="auto" w:sz="2" w:space="0"/>
            </w:tcBorders>
            <w:vAlign w:val="center"/>
          </w:tcPr>
          <w:p w14:paraId="40FB144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752,812.88</w:t>
            </w:r>
          </w:p>
        </w:tc>
        <w:tc>
          <w:tcPr>
            <w:tcW w:w="1606" w:type="dxa"/>
            <w:tcBorders>
              <w:top w:val="single" w:color="auto" w:sz="2" w:space="0"/>
              <w:left w:val="single" w:color="auto" w:sz="2" w:space="0"/>
              <w:bottom w:val="single" w:color="auto" w:sz="2" w:space="0"/>
              <w:right w:val="single" w:color="auto" w:sz="2" w:space="0"/>
            </w:tcBorders>
            <w:vAlign w:val="center"/>
          </w:tcPr>
          <w:p w14:paraId="56ECCCB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5,187,285.66</w:t>
            </w:r>
          </w:p>
        </w:tc>
        <w:tc>
          <w:tcPr>
            <w:tcW w:w="1606" w:type="dxa"/>
            <w:tcBorders>
              <w:top w:val="single" w:color="auto" w:sz="2" w:space="0"/>
              <w:left w:val="single" w:color="auto" w:sz="2" w:space="0"/>
              <w:bottom w:val="single" w:color="auto" w:sz="2" w:space="0"/>
              <w:right w:val="single" w:color="auto" w:sz="2" w:space="0"/>
            </w:tcBorders>
            <w:vAlign w:val="center"/>
          </w:tcPr>
          <w:p w14:paraId="623BC4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211,772.26</w:t>
            </w:r>
          </w:p>
        </w:tc>
        <w:tc>
          <w:tcPr>
            <w:tcW w:w="1606" w:type="dxa"/>
            <w:tcBorders>
              <w:top w:val="single" w:color="auto" w:sz="2" w:space="0"/>
              <w:left w:val="single" w:color="auto" w:sz="2" w:space="0"/>
              <w:bottom w:val="single" w:color="auto" w:sz="2" w:space="0"/>
              <w:right w:val="single" w:color="auto" w:sz="2" w:space="0"/>
            </w:tcBorders>
            <w:vAlign w:val="center"/>
          </w:tcPr>
          <w:p w14:paraId="0724BADE">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C06E49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6,151,870.80</w:t>
            </w:r>
          </w:p>
        </w:tc>
      </w:tr>
      <w:tr w14:paraId="5A443E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C7F285E">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（3）企业合并增加</w:t>
            </w:r>
          </w:p>
        </w:tc>
        <w:tc>
          <w:tcPr>
            <w:tcW w:w="1606" w:type="dxa"/>
            <w:tcBorders>
              <w:top w:val="single" w:color="auto" w:sz="2" w:space="0"/>
              <w:left w:val="single" w:color="auto" w:sz="2" w:space="0"/>
              <w:bottom w:val="single" w:color="auto" w:sz="2" w:space="0"/>
              <w:right w:val="single" w:color="auto" w:sz="2" w:space="0"/>
            </w:tcBorders>
            <w:vAlign w:val="center"/>
          </w:tcPr>
          <w:p w14:paraId="21EB8EE5">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FF7B15A">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6E2459B">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CC11B7F">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773729C">
            <w:pPr>
              <w:spacing w:before="0" w:after="0" w:line="240" w:lineRule="exact"/>
              <w:jc w:val="right"/>
              <w:rPr>
                <w:rFonts w:ascii="宋体" w:hAnsi="宋体" w:eastAsia="宋体" w:cs="宋体"/>
                <w:color w:val="auto"/>
                <w:sz w:val="18"/>
                <w:szCs w:val="18"/>
              </w:rPr>
            </w:pPr>
          </w:p>
        </w:tc>
      </w:tr>
      <w:tr w14:paraId="638825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24ECD12">
            <w:pPr>
              <w:spacing w:before="0" w:after="0" w:line="240" w:lineRule="exact"/>
              <w:jc w:val="lef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9E266A5">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C9A2330">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24DF6AC">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AFBC6F0">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367DF80">
            <w:pPr>
              <w:spacing w:before="0" w:after="0" w:line="240" w:lineRule="exact"/>
              <w:jc w:val="right"/>
              <w:rPr>
                <w:rFonts w:ascii="宋体" w:hAnsi="宋体" w:eastAsia="宋体" w:cs="宋体"/>
                <w:color w:val="auto"/>
                <w:sz w:val="18"/>
                <w:szCs w:val="18"/>
              </w:rPr>
            </w:pPr>
          </w:p>
        </w:tc>
      </w:tr>
      <w:tr w14:paraId="224CB2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C78A565">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3.本期减少金额</w:t>
            </w:r>
          </w:p>
        </w:tc>
        <w:tc>
          <w:tcPr>
            <w:tcW w:w="1606" w:type="dxa"/>
            <w:tcBorders>
              <w:top w:val="single" w:color="auto" w:sz="2" w:space="0"/>
              <w:left w:val="single" w:color="auto" w:sz="2" w:space="0"/>
              <w:bottom w:val="single" w:color="auto" w:sz="2" w:space="0"/>
              <w:right w:val="single" w:color="auto" w:sz="2" w:space="0"/>
            </w:tcBorders>
            <w:vAlign w:val="center"/>
          </w:tcPr>
          <w:p w14:paraId="5BAB46F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144,850.28</w:t>
            </w:r>
          </w:p>
        </w:tc>
        <w:tc>
          <w:tcPr>
            <w:tcW w:w="1606" w:type="dxa"/>
            <w:tcBorders>
              <w:top w:val="single" w:color="auto" w:sz="2" w:space="0"/>
              <w:left w:val="single" w:color="auto" w:sz="2" w:space="0"/>
              <w:bottom w:val="single" w:color="auto" w:sz="2" w:space="0"/>
              <w:right w:val="single" w:color="auto" w:sz="2" w:space="0"/>
            </w:tcBorders>
            <w:vAlign w:val="center"/>
          </w:tcPr>
          <w:p w14:paraId="67363FB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4,860,022.49</w:t>
            </w:r>
          </w:p>
        </w:tc>
        <w:tc>
          <w:tcPr>
            <w:tcW w:w="1606" w:type="dxa"/>
            <w:tcBorders>
              <w:top w:val="single" w:color="auto" w:sz="2" w:space="0"/>
              <w:left w:val="single" w:color="auto" w:sz="2" w:space="0"/>
              <w:bottom w:val="single" w:color="auto" w:sz="2" w:space="0"/>
              <w:right w:val="single" w:color="auto" w:sz="2" w:space="0"/>
            </w:tcBorders>
            <w:vAlign w:val="center"/>
          </w:tcPr>
          <w:p w14:paraId="4B96C0F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47,919.18</w:t>
            </w:r>
          </w:p>
        </w:tc>
        <w:tc>
          <w:tcPr>
            <w:tcW w:w="1606" w:type="dxa"/>
            <w:tcBorders>
              <w:top w:val="single" w:color="auto" w:sz="2" w:space="0"/>
              <w:left w:val="single" w:color="auto" w:sz="2" w:space="0"/>
              <w:bottom w:val="single" w:color="auto" w:sz="2" w:space="0"/>
              <w:right w:val="single" w:color="auto" w:sz="2" w:space="0"/>
            </w:tcBorders>
            <w:vAlign w:val="center"/>
          </w:tcPr>
          <w:p w14:paraId="4FB9984A">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5EC40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5,052,791.95</w:t>
            </w:r>
          </w:p>
        </w:tc>
      </w:tr>
      <w:tr w14:paraId="6583AC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86A8233">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（1）处置或报废</w:t>
            </w:r>
          </w:p>
        </w:tc>
        <w:tc>
          <w:tcPr>
            <w:tcW w:w="1606" w:type="dxa"/>
            <w:tcBorders>
              <w:top w:val="single" w:color="auto" w:sz="2" w:space="0"/>
              <w:left w:val="single" w:color="auto" w:sz="2" w:space="0"/>
              <w:bottom w:val="single" w:color="auto" w:sz="2" w:space="0"/>
              <w:right w:val="single" w:color="auto" w:sz="2" w:space="0"/>
            </w:tcBorders>
            <w:vAlign w:val="center"/>
          </w:tcPr>
          <w:p w14:paraId="0E066B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144,850.28</w:t>
            </w:r>
          </w:p>
        </w:tc>
        <w:tc>
          <w:tcPr>
            <w:tcW w:w="1606" w:type="dxa"/>
            <w:tcBorders>
              <w:top w:val="single" w:color="auto" w:sz="2" w:space="0"/>
              <w:left w:val="single" w:color="auto" w:sz="2" w:space="0"/>
              <w:bottom w:val="single" w:color="auto" w:sz="2" w:space="0"/>
              <w:right w:val="single" w:color="auto" w:sz="2" w:space="0"/>
            </w:tcBorders>
            <w:vAlign w:val="center"/>
          </w:tcPr>
          <w:p w14:paraId="302B94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4,860,022.49</w:t>
            </w:r>
          </w:p>
        </w:tc>
        <w:tc>
          <w:tcPr>
            <w:tcW w:w="1606" w:type="dxa"/>
            <w:tcBorders>
              <w:top w:val="single" w:color="auto" w:sz="2" w:space="0"/>
              <w:left w:val="single" w:color="auto" w:sz="2" w:space="0"/>
              <w:bottom w:val="single" w:color="auto" w:sz="2" w:space="0"/>
              <w:right w:val="single" w:color="auto" w:sz="2" w:space="0"/>
            </w:tcBorders>
            <w:vAlign w:val="center"/>
          </w:tcPr>
          <w:p w14:paraId="79BBB1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47,919.18</w:t>
            </w:r>
          </w:p>
        </w:tc>
        <w:tc>
          <w:tcPr>
            <w:tcW w:w="1606" w:type="dxa"/>
            <w:tcBorders>
              <w:top w:val="single" w:color="auto" w:sz="2" w:space="0"/>
              <w:left w:val="single" w:color="auto" w:sz="2" w:space="0"/>
              <w:bottom w:val="single" w:color="auto" w:sz="2" w:space="0"/>
              <w:right w:val="single" w:color="auto" w:sz="2" w:space="0"/>
            </w:tcBorders>
            <w:vAlign w:val="center"/>
          </w:tcPr>
          <w:p w14:paraId="23829E76">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42FDB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5,052,791.95</w:t>
            </w:r>
          </w:p>
        </w:tc>
      </w:tr>
      <w:tr w14:paraId="2D9172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EAC8527">
            <w:pPr>
              <w:spacing w:before="0" w:after="0" w:line="240" w:lineRule="exact"/>
              <w:ind w:firstLine="720" w:firstLineChars="400"/>
              <w:jc w:val="left"/>
              <w:rPr>
                <w:rFonts w:hint="eastAsia" w:ascii="宋体" w:hAnsi="宋体" w:eastAsia="宋体" w:cs="宋体"/>
                <w:color w:val="auto"/>
                <w:sz w:val="18"/>
                <w:szCs w:val="18"/>
                <w:lang w:eastAsia="zh-CN"/>
              </w:rPr>
            </w:pPr>
            <w:r>
              <w:rPr>
                <w:rFonts w:ascii="宋体" w:hAnsi="宋体" w:eastAsia="宋体" w:cs="宋体"/>
                <w:color w:val="auto"/>
                <w:sz w:val="18"/>
                <w:szCs w:val="18"/>
              </w:rPr>
              <w:t>（</w:t>
            </w:r>
            <w:r>
              <w:rPr>
                <w:rFonts w:hint="eastAsia" w:ascii="宋体" w:hAnsi="宋体" w:cs="宋体"/>
                <w:color w:val="auto"/>
                <w:sz w:val="18"/>
                <w:szCs w:val="18"/>
                <w:lang w:val="en-US" w:eastAsia="zh-CN"/>
              </w:rPr>
              <w:t>2</w:t>
            </w:r>
            <w:r>
              <w:rPr>
                <w:rFonts w:ascii="宋体" w:hAnsi="宋体" w:eastAsia="宋体" w:cs="宋体"/>
                <w:color w:val="auto"/>
                <w:sz w:val="18"/>
                <w:szCs w:val="18"/>
              </w:rPr>
              <w:t>）其他</w:t>
            </w:r>
            <w:r>
              <w:rPr>
                <w:rFonts w:hint="eastAsia" w:ascii="宋体" w:hAnsi="宋体" w:cs="宋体"/>
                <w:color w:val="auto"/>
                <w:sz w:val="18"/>
                <w:szCs w:val="18"/>
                <w:lang w:val="en-US" w:eastAsia="zh-CN"/>
              </w:rPr>
              <w:t>减少</w:t>
            </w:r>
          </w:p>
        </w:tc>
        <w:tc>
          <w:tcPr>
            <w:tcW w:w="1606" w:type="dxa"/>
            <w:tcBorders>
              <w:top w:val="single" w:color="auto" w:sz="2" w:space="0"/>
              <w:left w:val="single" w:color="auto" w:sz="2" w:space="0"/>
              <w:bottom w:val="single" w:color="auto" w:sz="2" w:space="0"/>
              <w:right w:val="single" w:color="auto" w:sz="2" w:space="0"/>
            </w:tcBorders>
            <w:shd w:val="clear" w:color="auto" w:fill="auto"/>
            <w:vAlign w:val="center"/>
          </w:tcPr>
          <w:p w14:paraId="011977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800,893.56</w:t>
            </w:r>
          </w:p>
        </w:tc>
        <w:tc>
          <w:tcPr>
            <w:tcW w:w="1606" w:type="dxa"/>
            <w:tcBorders>
              <w:top w:val="single" w:color="auto" w:sz="2" w:space="0"/>
              <w:left w:val="single" w:color="auto" w:sz="2" w:space="0"/>
              <w:bottom w:val="single" w:color="auto" w:sz="2" w:space="0"/>
              <w:right w:val="single" w:color="auto" w:sz="2" w:space="0"/>
            </w:tcBorders>
            <w:shd w:val="clear" w:color="auto" w:fill="auto"/>
            <w:vAlign w:val="center"/>
          </w:tcPr>
          <w:p w14:paraId="135BD8A3">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shd w:val="clear" w:color="auto" w:fill="auto"/>
            <w:vAlign w:val="center"/>
          </w:tcPr>
          <w:p w14:paraId="5109B29C">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shd w:val="clear" w:color="auto" w:fill="auto"/>
            <w:vAlign w:val="center"/>
          </w:tcPr>
          <w:p w14:paraId="793232FB">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shd w:val="clear" w:color="auto" w:fill="auto"/>
            <w:vAlign w:val="center"/>
          </w:tcPr>
          <w:p w14:paraId="2D8D57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800,893.56</w:t>
            </w:r>
          </w:p>
        </w:tc>
      </w:tr>
      <w:tr w14:paraId="6CC202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1AAF3A5">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4.期末余额</w:t>
            </w:r>
          </w:p>
        </w:tc>
        <w:tc>
          <w:tcPr>
            <w:tcW w:w="1606" w:type="dxa"/>
            <w:tcBorders>
              <w:top w:val="single" w:color="auto" w:sz="2" w:space="0"/>
              <w:left w:val="single" w:color="auto" w:sz="2" w:space="0"/>
              <w:bottom w:val="single" w:color="auto" w:sz="2" w:space="0"/>
              <w:right w:val="single" w:color="auto" w:sz="2" w:space="0"/>
            </w:tcBorders>
            <w:vAlign w:val="center"/>
          </w:tcPr>
          <w:p w14:paraId="4745867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565,760,204.20</w:t>
            </w:r>
          </w:p>
        </w:tc>
        <w:tc>
          <w:tcPr>
            <w:tcW w:w="1606" w:type="dxa"/>
            <w:tcBorders>
              <w:top w:val="single" w:color="auto" w:sz="2" w:space="0"/>
              <w:left w:val="single" w:color="auto" w:sz="2" w:space="0"/>
              <w:bottom w:val="single" w:color="auto" w:sz="2" w:space="0"/>
              <w:right w:val="single" w:color="auto" w:sz="2" w:space="0"/>
            </w:tcBorders>
            <w:vAlign w:val="center"/>
          </w:tcPr>
          <w:p w14:paraId="724BEB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242,598,368.86</w:t>
            </w:r>
          </w:p>
        </w:tc>
        <w:tc>
          <w:tcPr>
            <w:tcW w:w="1606" w:type="dxa"/>
            <w:tcBorders>
              <w:top w:val="single" w:color="auto" w:sz="2" w:space="0"/>
              <w:left w:val="single" w:color="auto" w:sz="2" w:space="0"/>
              <w:bottom w:val="single" w:color="auto" w:sz="2" w:space="0"/>
              <w:right w:val="single" w:color="auto" w:sz="2" w:space="0"/>
            </w:tcBorders>
            <w:vAlign w:val="center"/>
          </w:tcPr>
          <w:p w14:paraId="616C053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22,066,361.37</w:t>
            </w:r>
          </w:p>
        </w:tc>
        <w:tc>
          <w:tcPr>
            <w:tcW w:w="1606" w:type="dxa"/>
            <w:tcBorders>
              <w:top w:val="single" w:color="auto" w:sz="2" w:space="0"/>
              <w:left w:val="single" w:color="auto" w:sz="2" w:space="0"/>
              <w:bottom w:val="single" w:color="auto" w:sz="2" w:space="0"/>
              <w:right w:val="single" w:color="auto" w:sz="2" w:space="0"/>
            </w:tcBorders>
            <w:vAlign w:val="center"/>
          </w:tcPr>
          <w:p w14:paraId="0E08A8F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7,716,150.77</w:t>
            </w:r>
          </w:p>
        </w:tc>
        <w:tc>
          <w:tcPr>
            <w:tcW w:w="1606" w:type="dxa"/>
            <w:tcBorders>
              <w:top w:val="single" w:color="auto" w:sz="2" w:space="0"/>
              <w:left w:val="single" w:color="auto" w:sz="2" w:space="0"/>
              <w:bottom w:val="single" w:color="auto" w:sz="2" w:space="0"/>
              <w:right w:val="single" w:color="auto" w:sz="2" w:space="0"/>
            </w:tcBorders>
            <w:vAlign w:val="center"/>
          </w:tcPr>
          <w:p w14:paraId="0DE104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838,141,085.20</w:t>
            </w:r>
          </w:p>
        </w:tc>
      </w:tr>
      <w:tr w14:paraId="3B5143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63D60D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二、累计折旧</w:t>
            </w:r>
          </w:p>
        </w:tc>
        <w:tc>
          <w:tcPr>
            <w:tcW w:w="1606" w:type="dxa"/>
            <w:tcBorders>
              <w:top w:val="single" w:color="auto" w:sz="2" w:space="0"/>
              <w:left w:val="single" w:color="auto" w:sz="2" w:space="0"/>
              <w:bottom w:val="single" w:color="auto" w:sz="2" w:space="0"/>
              <w:right w:val="single" w:color="auto" w:sz="2" w:space="0"/>
            </w:tcBorders>
            <w:vAlign w:val="center"/>
          </w:tcPr>
          <w:p w14:paraId="50491D66">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75101C1">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85008B1">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9B37AF8">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899928A">
            <w:pPr>
              <w:spacing w:before="0" w:after="0" w:line="240" w:lineRule="exact"/>
              <w:jc w:val="right"/>
              <w:rPr>
                <w:rFonts w:ascii="宋体" w:hAnsi="宋体" w:eastAsia="宋体" w:cs="宋体"/>
                <w:color w:val="auto"/>
                <w:sz w:val="18"/>
                <w:szCs w:val="18"/>
              </w:rPr>
            </w:pPr>
          </w:p>
        </w:tc>
      </w:tr>
      <w:tr w14:paraId="1D1C7E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14D66AF">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1.期初余额</w:t>
            </w:r>
          </w:p>
        </w:tc>
        <w:tc>
          <w:tcPr>
            <w:tcW w:w="1606" w:type="dxa"/>
            <w:tcBorders>
              <w:top w:val="single" w:color="auto" w:sz="2" w:space="0"/>
              <w:left w:val="single" w:color="auto" w:sz="2" w:space="0"/>
              <w:bottom w:val="single" w:color="auto" w:sz="2" w:space="0"/>
              <w:right w:val="single" w:color="auto" w:sz="2" w:space="0"/>
            </w:tcBorders>
            <w:vAlign w:val="center"/>
          </w:tcPr>
          <w:p w14:paraId="789166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159,807,196.54</w:t>
            </w:r>
          </w:p>
        </w:tc>
        <w:tc>
          <w:tcPr>
            <w:tcW w:w="1606" w:type="dxa"/>
            <w:tcBorders>
              <w:top w:val="single" w:color="auto" w:sz="2" w:space="0"/>
              <w:left w:val="single" w:color="auto" w:sz="2" w:space="0"/>
              <w:bottom w:val="single" w:color="auto" w:sz="2" w:space="0"/>
              <w:right w:val="single" w:color="auto" w:sz="2" w:space="0"/>
            </w:tcBorders>
            <w:vAlign w:val="center"/>
          </w:tcPr>
          <w:p w14:paraId="108254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96,175,378.44</w:t>
            </w:r>
          </w:p>
        </w:tc>
        <w:tc>
          <w:tcPr>
            <w:tcW w:w="1606" w:type="dxa"/>
            <w:tcBorders>
              <w:top w:val="single" w:color="auto" w:sz="2" w:space="0"/>
              <w:left w:val="single" w:color="auto" w:sz="2" w:space="0"/>
              <w:bottom w:val="single" w:color="auto" w:sz="2" w:space="0"/>
              <w:right w:val="single" w:color="auto" w:sz="2" w:space="0"/>
            </w:tcBorders>
            <w:vAlign w:val="center"/>
          </w:tcPr>
          <w:p w14:paraId="1901484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12,917,959.24</w:t>
            </w:r>
          </w:p>
        </w:tc>
        <w:tc>
          <w:tcPr>
            <w:tcW w:w="1606" w:type="dxa"/>
            <w:tcBorders>
              <w:top w:val="single" w:color="auto" w:sz="2" w:space="0"/>
              <w:left w:val="single" w:color="auto" w:sz="2" w:space="0"/>
              <w:bottom w:val="single" w:color="auto" w:sz="2" w:space="0"/>
              <w:right w:val="single" w:color="auto" w:sz="2" w:space="0"/>
            </w:tcBorders>
            <w:vAlign w:val="center"/>
          </w:tcPr>
          <w:p w14:paraId="780A46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6,057,848.03</w:t>
            </w:r>
          </w:p>
        </w:tc>
        <w:tc>
          <w:tcPr>
            <w:tcW w:w="1606" w:type="dxa"/>
            <w:tcBorders>
              <w:top w:val="single" w:color="auto" w:sz="2" w:space="0"/>
              <w:left w:val="single" w:color="auto" w:sz="2" w:space="0"/>
              <w:bottom w:val="single" w:color="auto" w:sz="2" w:space="0"/>
              <w:right w:val="single" w:color="auto" w:sz="2" w:space="0"/>
            </w:tcBorders>
            <w:vAlign w:val="center"/>
          </w:tcPr>
          <w:p w14:paraId="04DE6F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274,958,382.25</w:t>
            </w:r>
          </w:p>
        </w:tc>
      </w:tr>
      <w:tr w14:paraId="297778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6C3AAB6">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2.本期增加金额</w:t>
            </w:r>
          </w:p>
        </w:tc>
        <w:tc>
          <w:tcPr>
            <w:tcW w:w="1606" w:type="dxa"/>
            <w:tcBorders>
              <w:top w:val="single" w:color="auto" w:sz="2" w:space="0"/>
              <w:left w:val="single" w:color="auto" w:sz="2" w:space="0"/>
              <w:bottom w:val="single" w:color="auto" w:sz="2" w:space="0"/>
              <w:right w:val="single" w:color="auto" w:sz="2" w:space="0"/>
            </w:tcBorders>
            <w:vAlign w:val="center"/>
          </w:tcPr>
          <w:p w14:paraId="0134B2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13,908,577.85</w:t>
            </w:r>
          </w:p>
        </w:tc>
        <w:tc>
          <w:tcPr>
            <w:tcW w:w="1606" w:type="dxa"/>
            <w:tcBorders>
              <w:top w:val="single" w:color="auto" w:sz="2" w:space="0"/>
              <w:left w:val="single" w:color="auto" w:sz="2" w:space="0"/>
              <w:bottom w:val="single" w:color="auto" w:sz="2" w:space="0"/>
              <w:right w:val="single" w:color="auto" w:sz="2" w:space="0"/>
            </w:tcBorders>
            <w:vAlign w:val="center"/>
          </w:tcPr>
          <w:p w14:paraId="2E643B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9,501,612.84</w:t>
            </w:r>
          </w:p>
        </w:tc>
        <w:tc>
          <w:tcPr>
            <w:tcW w:w="1606" w:type="dxa"/>
            <w:tcBorders>
              <w:top w:val="single" w:color="auto" w:sz="2" w:space="0"/>
              <w:left w:val="single" w:color="auto" w:sz="2" w:space="0"/>
              <w:bottom w:val="single" w:color="auto" w:sz="2" w:space="0"/>
              <w:right w:val="single" w:color="auto" w:sz="2" w:space="0"/>
            </w:tcBorders>
            <w:vAlign w:val="center"/>
          </w:tcPr>
          <w:p w14:paraId="4C41588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1,462,017.53</w:t>
            </w:r>
          </w:p>
        </w:tc>
        <w:tc>
          <w:tcPr>
            <w:tcW w:w="1606" w:type="dxa"/>
            <w:tcBorders>
              <w:top w:val="single" w:color="auto" w:sz="2" w:space="0"/>
              <w:left w:val="single" w:color="auto" w:sz="2" w:space="0"/>
              <w:bottom w:val="single" w:color="auto" w:sz="2" w:space="0"/>
              <w:right w:val="single" w:color="auto" w:sz="2" w:space="0"/>
            </w:tcBorders>
            <w:vAlign w:val="center"/>
          </w:tcPr>
          <w:p w14:paraId="0983193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304,289.97</w:t>
            </w:r>
          </w:p>
        </w:tc>
        <w:tc>
          <w:tcPr>
            <w:tcW w:w="1606" w:type="dxa"/>
            <w:tcBorders>
              <w:top w:val="single" w:color="auto" w:sz="2" w:space="0"/>
              <w:left w:val="single" w:color="auto" w:sz="2" w:space="0"/>
              <w:bottom w:val="single" w:color="auto" w:sz="2" w:space="0"/>
              <w:right w:val="single" w:color="auto" w:sz="2" w:space="0"/>
            </w:tcBorders>
            <w:vAlign w:val="center"/>
          </w:tcPr>
          <w:p w14:paraId="15DA261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25,176,498.19</w:t>
            </w:r>
          </w:p>
        </w:tc>
      </w:tr>
      <w:tr w14:paraId="2194E4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71638A0">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（1）计提</w:t>
            </w:r>
          </w:p>
        </w:tc>
        <w:tc>
          <w:tcPr>
            <w:tcW w:w="1606" w:type="dxa"/>
            <w:tcBorders>
              <w:top w:val="single" w:color="auto" w:sz="2" w:space="0"/>
              <w:left w:val="single" w:color="auto" w:sz="2" w:space="0"/>
              <w:bottom w:val="single" w:color="auto" w:sz="2" w:space="0"/>
              <w:right w:val="single" w:color="auto" w:sz="2" w:space="0"/>
            </w:tcBorders>
            <w:vAlign w:val="center"/>
          </w:tcPr>
          <w:p w14:paraId="09FE3EF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13,908,577.85</w:t>
            </w:r>
          </w:p>
        </w:tc>
        <w:tc>
          <w:tcPr>
            <w:tcW w:w="1606" w:type="dxa"/>
            <w:tcBorders>
              <w:top w:val="single" w:color="auto" w:sz="2" w:space="0"/>
              <w:left w:val="single" w:color="auto" w:sz="2" w:space="0"/>
              <w:bottom w:val="single" w:color="auto" w:sz="2" w:space="0"/>
              <w:right w:val="single" w:color="auto" w:sz="2" w:space="0"/>
            </w:tcBorders>
            <w:vAlign w:val="center"/>
          </w:tcPr>
          <w:p w14:paraId="32A9BE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9,501,612.84</w:t>
            </w:r>
          </w:p>
        </w:tc>
        <w:tc>
          <w:tcPr>
            <w:tcW w:w="1606" w:type="dxa"/>
            <w:tcBorders>
              <w:top w:val="single" w:color="auto" w:sz="2" w:space="0"/>
              <w:left w:val="single" w:color="auto" w:sz="2" w:space="0"/>
              <w:bottom w:val="single" w:color="auto" w:sz="2" w:space="0"/>
              <w:right w:val="single" w:color="auto" w:sz="2" w:space="0"/>
            </w:tcBorders>
            <w:vAlign w:val="center"/>
          </w:tcPr>
          <w:p w14:paraId="0CFE8D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1,462,017.53</w:t>
            </w:r>
          </w:p>
        </w:tc>
        <w:tc>
          <w:tcPr>
            <w:tcW w:w="1606" w:type="dxa"/>
            <w:tcBorders>
              <w:top w:val="single" w:color="auto" w:sz="2" w:space="0"/>
              <w:left w:val="single" w:color="auto" w:sz="2" w:space="0"/>
              <w:bottom w:val="single" w:color="auto" w:sz="2" w:space="0"/>
              <w:right w:val="single" w:color="auto" w:sz="2" w:space="0"/>
            </w:tcBorders>
            <w:vAlign w:val="center"/>
          </w:tcPr>
          <w:p w14:paraId="41F264A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304,289.97</w:t>
            </w:r>
          </w:p>
        </w:tc>
        <w:tc>
          <w:tcPr>
            <w:tcW w:w="1606" w:type="dxa"/>
            <w:tcBorders>
              <w:top w:val="single" w:color="auto" w:sz="2" w:space="0"/>
              <w:left w:val="single" w:color="auto" w:sz="2" w:space="0"/>
              <w:bottom w:val="single" w:color="auto" w:sz="2" w:space="0"/>
              <w:right w:val="single" w:color="auto" w:sz="2" w:space="0"/>
            </w:tcBorders>
            <w:vAlign w:val="center"/>
          </w:tcPr>
          <w:p w14:paraId="0FC82DD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25,176,498.19</w:t>
            </w:r>
          </w:p>
        </w:tc>
      </w:tr>
      <w:tr w14:paraId="3AC469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326122D">
            <w:pPr>
              <w:spacing w:before="0" w:after="0" w:line="240" w:lineRule="exact"/>
              <w:jc w:val="lef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A19235A">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4C117F7">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3628CC4">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22C9FE3">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08EAE16">
            <w:pPr>
              <w:spacing w:before="0" w:after="0" w:line="240" w:lineRule="exact"/>
              <w:jc w:val="right"/>
              <w:rPr>
                <w:rFonts w:ascii="宋体" w:hAnsi="宋体" w:eastAsia="宋体" w:cs="宋体"/>
                <w:color w:val="auto"/>
                <w:sz w:val="18"/>
                <w:szCs w:val="18"/>
              </w:rPr>
            </w:pPr>
          </w:p>
        </w:tc>
      </w:tr>
      <w:tr w14:paraId="5D5CDE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7F8881E">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3.本期减少金额</w:t>
            </w:r>
          </w:p>
        </w:tc>
        <w:tc>
          <w:tcPr>
            <w:tcW w:w="1606" w:type="dxa"/>
            <w:tcBorders>
              <w:top w:val="single" w:color="auto" w:sz="2" w:space="0"/>
              <w:left w:val="single" w:color="auto" w:sz="2" w:space="0"/>
              <w:bottom w:val="single" w:color="auto" w:sz="2" w:space="0"/>
              <w:right w:val="single" w:color="auto" w:sz="2" w:space="0"/>
            </w:tcBorders>
            <w:vAlign w:val="center"/>
          </w:tcPr>
          <w:p w14:paraId="7E4D07D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135,200.72</w:t>
            </w:r>
          </w:p>
        </w:tc>
        <w:tc>
          <w:tcPr>
            <w:tcW w:w="1606" w:type="dxa"/>
            <w:tcBorders>
              <w:top w:val="single" w:color="auto" w:sz="2" w:space="0"/>
              <w:left w:val="single" w:color="auto" w:sz="2" w:space="0"/>
              <w:bottom w:val="single" w:color="auto" w:sz="2" w:space="0"/>
              <w:right w:val="single" w:color="auto" w:sz="2" w:space="0"/>
            </w:tcBorders>
            <w:vAlign w:val="center"/>
          </w:tcPr>
          <w:p w14:paraId="336776B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4,528,770.79</w:t>
            </w:r>
          </w:p>
        </w:tc>
        <w:tc>
          <w:tcPr>
            <w:tcW w:w="1606" w:type="dxa"/>
            <w:tcBorders>
              <w:top w:val="single" w:color="auto" w:sz="2" w:space="0"/>
              <w:left w:val="single" w:color="auto" w:sz="2" w:space="0"/>
              <w:bottom w:val="single" w:color="auto" w:sz="2" w:space="0"/>
              <w:right w:val="single" w:color="auto" w:sz="2" w:space="0"/>
            </w:tcBorders>
            <w:vAlign w:val="center"/>
          </w:tcPr>
          <w:p w14:paraId="4C9302D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45,523.46</w:t>
            </w:r>
          </w:p>
        </w:tc>
        <w:tc>
          <w:tcPr>
            <w:tcW w:w="1606" w:type="dxa"/>
            <w:tcBorders>
              <w:top w:val="single" w:color="auto" w:sz="2" w:space="0"/>
              <w:left w:val="single" w:color="auto" w:sz="2" w:space="0"/>
              <w:bottom w:val="single" w:color="auto" w:sz="2" w:space="0"/>
              <w:right w:val="single" w:color="auto" w:sz="2" w:space="0"/>
            </w:tcBorders>
            <w:vAlign w:val="center"/>
          </w:tcPr>
          <w:p w14:paraId="3D40FAED">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86880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4,709,494.97</w:t>
            </w:r>
          </w:p>
        </w:tc>
      </w:tr>
      <w:tr w14:paraId="07D5F0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8494B3C">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（1）处置或报废</w:t>
            </w:r>
          </w:p>
        </w:tc>
        <w:tc>
          <w:tcPr>
            <w:tcW w:w="1606" w:type="dxa"/>
            <w:tcBorders>
              <w:top w:val="single" w:color="auto" w:sz="2" w:space="0"/>
              <w:left w:val="single" w:color="auto" w:sz="2" w:space="0"/>
              <w:bottom w:val="single" w:color="auto" w:sz="2" w:space="0"/>
              <w:right w:val="single" w:color="auto" w:sz="2" w:space="0"/>
            </w:tcBorders>
            <w:vAlign w:val="center"/>
          </w:tcPr>
          <w:p w14:paraId="55717ED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135,200.72</w:t>
            </w:r>
          </w:p>
        </w:tc>
        <w:tc>
          <w:tcPr>
            <w:tcW w:w="1606" w:type="dxa"/>
            <w:tcBorders>
              <w:top w:val="single" w:color="auto" w:sz="2" w:space="0"/>
              <w:left w:val="single" w:color="auto" w:sz="2" w:space="0"/>
              <w:bottom w:val="single" w:color="auto" w:sz="2" w:space="0"/>
              <w:right w:val="single" w:color="auto" w:sz="2" w:space="0"/>
            </w:tcBorders>
            <w:vAlign w:val="center"/>
          </w:tcPr>
          <w:p w14:paraId="043122D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4,528,770.79</w:t>
            </w:r>
          </w:p>
        </w:tc>
        <w:tc>
          <w:tcPr>
            <w:tcW w:w="1606" w:type="dxa"/>
            <w:tcBorders>
              <w:top w:val="single" w:color="auto" w:sz="2" w:space="0"/>
              <w:left w:val="single" w:color="auto" w:sz="2" w:space="0"/>
              <w:bottom w:val="single" w:color="auto" w:sz="2" w:space="0"/>
              <w:right w:val="single" w:color="auto" w:sz="2" w:space="0"/>
            </w:tcBorders>
            <w:vAlign w:val="center"/>
          </w:tcPr>
          <w:p w14:paraId="088484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45,523.46</w:t>
            </w:r>
          </w:p>
        </w:tc>
        <w:tc>
          <w:tcPr>
            <w:tcW w:w="1606" w:type="dxa"/>
            <w:tcBorders>
              <w:top w:val="single" w:color="auto" w:sz="2" w:space="0"/>
              <w:left w:val="single" w:color="auto" w:sz="2" w:space="0"/>
              <w:bottom w:val="single" w:color="auto" w:sz="2" w:space="0"/>
              <w:right w:val="single" w:color="auto" w:sz="2" w:space="0"/>
            </w:tcBorders>
            <w:vAlign w:val="center"/>
          </w:tcPr>
          <w:p w14:paraId="4E41878B">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1A1B2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4,709,494.97</w:t>
            </w:r>
          </w:p>
        </w:tc>
      </w:tr>
      <w:tr w14:paraId="006A80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AF54597">
            <w:pPr>
              <w:spacing w:before="0" w:after="0" w:line="240" w:lineRule="exact"/>
              <w:jc w:val="lef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9B05FFA">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0B93171">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2C513AF">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748DFF8">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BF4F55B">
            <w:pPr>
              <w:spacing w:before="0" w:after="0" w:line="240" w:lineRule="exact"/>
              <w:jc w:val="right"/>
              <w:rPr>
                <w:rFonts w:ascii="宋体" w:hAnsi="宋体" w:eastAsia="宋体" w:cs="宋体"/>
                <w:color w:val="auto"/>
                <w:sz w:val="18"/>
                <w:szCs w:val="18"/>
              </w:rPr>
            </w:pPr>
          </w:p>
        </w:tc>
      </w:tr>
      <w:tr w14:paraId="33D7B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756E640">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4.期末余额</w:t>
            </w:r>
          </w:p>
        </w:tc>
        <w:tc>
          <w:tcPr>
            <w:tcW w:w="1606" w:type="dxa"/>
            <w:tcBorders>
              <w:top w:val="single" w:color="auto" w:sz="2" w:space="0"/>
              <w:left w:val="single" w:color="auto" w:sz="2" w:space="0"/>
              <w:bottom w:val="single" w:color="auto" w:sz="2" w:space="0"/>
              <w:right w:val="single" w:color="auto" w:sz="2" w:space="0"/>
            </w:tcBorders>
            <w:vAlign w:val="center"/>
          </w:tcPr>
          <w:p w14:paraId="4972909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173,580,573.67</w:t>
            </w:r>
          </w:p>
        </w:tc>
        <w:tc>
          <w:tcPr>
            <w:tcW w:w="1606" w:type="dxa"/>
            <w:tcBorders>
              <w:top w:val="single" w:color="auto" w:sz="2" w:space="0"/>
              <w:left w:val="single" w:color="auto" w:sz="2" w:space="0"/>
              <w:bottom w:val="single" w:color="auto" w:sz="2" w:space="0"/>
              <w:right w:val="single" w:color="auto" w:sz="2" w:space="0"/>
            </w:tcBorders>
            <w:vAlign w:val="center"/>
          </w:tcPr>
          <w:p w14:paraId="184335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101,148,220.49</w:t>
            </w:r>
          </w:p>
        </w:tc>
        <w:tc>
          <w:tcPr>
            <w:tcW w:w="1606" w:type="dxa"/>
            <w:tcBorders>
              <w:top w:val="single" w:color="auto" w:sz="2" w:space="0"/>
              <w:left w:val="single" w:color="auto" w:sz="2" w:space="0"/>
              <w:bottom w:val="single" w:color="auto" w:sz="2" w:space="0"/>
              <w:right w:val="single" w:color="auto" w:sz="2" w:space="0"/>
            </w:tcBorders>
            <w:vAlign w:val="center"/>
          </w:tcPr>
          <w:p w14:paraId="51F3B44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14,334,453.31</w:t>
            </w:r>
          </w:p>
        </w:tc>
        <w:tc>
          <w:tcPr>
            <w:tcW w:w="1606" w:type="dxa"/>
            <w:tcBorders>
              <w:top w:val="single" w:color="auto" w:sz="2" w:space="0"/>
              <w:left w:val="single" w:color="auto" w:sz="2" w:space="0"/>
              <w:bottom w:val="single" w:color="auto" w:sz="2" w:space="0"/>
              <w:right w:val="single" w:color="auto" w:sz="2" w:space="0"/>
            </w:tcBorders>
            <w:vAlign w:val="center"/>
          </w:tcPr>
          <w:p w14:paraId="5E801F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6,362,138.00</w:t>
            </w:r>
          </w:p>
        </w:tc>
        <w:tc>
          <w:tcPr>
            <w:tcW w:w="1606" w:type="dxa"/>
            <w:tcBorders>
              <w:top w:val="single" w:color="auto" w:sz="2" w:space="0"/>
              <w:left w:val="single" w:color="auto" w:sz="2" w:space="0"/>
              <w:bottom w:val="single" w:color="auto" w:sz="2" w:space="0"/>
              <w:right w:val="single" w:color="auto" w:sz="2" w:space="0"/>
            </w:tcBorders>
            <w:vAlign w:val="center"/>
          </w:tcPr>
          <w:p w14:paraId="0D9E0D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295,425,385.47</w:t>
            </w:r>
          </w:p>
        </w:tc>
      </w:tr>
      <w:tr w14:paraId="3838E7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DAA41C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三、减值准备</w:t>
            </w:r>
          </w:p>
        </w:tc>
        <w:tc>
          <w:tcPr>
            <w:tcW w:w="1606" w:type="dxa"/>
            <w:tcBorders>
              <w:top w:val="single" w:color="auto" w:sz="2" w:space="0"/>
              <w:left w:val="single" w:color="auto" w:sz="2" w:space="0"/>
              <w:bottom w:val="single" w:color="auto" w:sz="2" w:space="0"/>
              <w:right w:val="single" w:color="auto" w:sz="2" w:space="0"/>
            </w:tcBorders>
            <w:vAlign w:val="center"/>
          </w:tcPr>
          <w:p w14:paraId="3EFCD2A1">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FFEFA8B">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3E90A16">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99063FB">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CA0240B">
            <w:pPr>
              <w:spacing w:before="0" w:after="0" w:line="240" w:lineRule="exact"/>
              <w:jc w:val="right"/>
              <w:rPr>
                <w:rFonts w:ascii="宋体" w:hAnsi="宋体" w:eastAsia="宋体" w:cs="宋体"/>
                <w:color w:val="auto"/>
                <w:sz w:val="18"/>
                <w:szCs w:val="18"/>
              </w:rPr>
            </w:pPr>
          </w:p>
        </w:tc>
      </w:tr>
      <w:tr w14:paraId="6C6D61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A7FFFD3">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1.期初余额</w:t>
            </w:r>
          </w:p>
        </w:tc>
        <w:tc>
          <w:tcPr>
            <w:tcW w:w="1606" w:type="dxa"/>
            <w:tcBorders>
              <w:top w:val="single" w:color="auto" w:sz="2" w:space="0"/>
              <w:left w:val="single" w:color="auto" w:sz="2" w:space="0"/>
              <w:bottom w:val="single" w:color="auto" w:sz="2" w:space="0"/>
              <w:right w:val="single" w:color="auto" w:sz="2" w:space="0"/>
            </w:tcBorders>
            <w:vAlign w:val="center"/>
          </w:tcPr>
          <w:p w14:paraId="6DB416F3">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92195F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4,284,982.64</w:t>
            </w:r>
          </w:p>
        </w:tc>
        <w:tc>
          <w:tcPr>
            <w:tcW w:w="1606" w:type="dxa"/>
            <w:tcBorders>
              <w:top w:val="single" w:color="auto" w:sz="2" w:space="0"/>
              <w:left w:val="single" w:color="auto" w:sz="2" w:space="0"/>
              <w:bottom w:val="single" w:color="auto" w:sz="2" w:space="0"/>
              <w:right w:val="single" w:color="auto" w:sz="2" w:space="0"/>
            </w:tcBorders>
            <w:vAlign w:val="center"/>
          </w:tcPr>
          <w:p w14:paraId="2E60D2B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1,305.08</w:t>
            </w:r>
          </w:p>
        </w:tc>
        <w:tc>
          <w:tcPr>
            <w:tcW w:w="1606" w:type="dxa"/>
            <w:tcBorders>
              <w:top w:val="single" w:color="auto" w:sz="2" w:space="0"/>
              <w:left w:val="single" w:color="auto" w:sz="2" w:space="0"/>
              <w:bottom w:val="single" w:color="auto" w:sz="2" w:space="0"/>
              <w:right w:val="single" w:color="auto" w:sz="2" w:space="0"/>
            </w:tcBorders>
            <w:vAlign w:val="center"/>
          </w:tcPr>
          <w:p w14:paraId="12AAFF11">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8A67608">
            <w:pPr>
              <w:spacing w:before="0" w:after="0" w:line="240" w:lineRule="exact"/>
              <w:jc w:val="right"/>
              <w:rPr>
                <w:rFonts w:ascii="宋体" w:hAnsi="宋体" w:eastAsia="宋体" w:cs="宋体"/>
                <w:color w:val="auto"/>
                <w:sz w:val="18"/>
                <w:szCs w:val="18"/>
              </w:rPr>
            </w:pPr>
          </w:p>
        </w:tc>
      </w:tr>
      <w:tr w14:paraId="0CF81E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98EE7B3">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2.本期增加金额</w:t>
            </w:r>
          </w:p>
        </w:tc>
        <w:tc>
          <w:tcPr>
            <w:tcW w:w="1606" w:type="dxa"/>
            <w:tcBorders>
              <w:top w:val="single" w:color="auto" w:sz="2" w:space="0"/>
              <w:left w:val="single" w:color="auto" w:sz="2" w:space="0"/>
              <w:bottom w:val="single" w:color="auto" w:sz="2" w:space="0"/>
              <w:right w:val="single" w:color="auto" w:sz="2" w:space="0"/>
            </w:tcBorders>
            <w:vAlign w:val="center"/>
          </w:tcPr>
          <w:p w14:paraId="72455067">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6EA1153">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C8F65F7">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3274487">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B79D52E">
            <w:pPr>
              <w:spacing w:before="0" w:after="0" w:line="240" w:lineRule="exact"/>
              <w:jc w:val="right"/>
              <w:rPr>
                <w:rFonts w:ascii="宋体" w:hAnsi="宋体" w:eastAsia="宋体" w:cs="宋体"/>
                <w:color w:val="auto"/>
                <w:sz w:val="18"/>
                <w:szCs w:val="18"/>
              </w:rPr>
            </w:pPr>
          </w:p>
        </w:tc>
      </w:tr>
      <w:tr w14:paraId="4A67D4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51B2F39">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（1）计提</w:t>
            </w:r>
          </w:p>
        </w:tc>
        <w:tc>
          <w:tcPr>
            <w:tcW w:w="1606" w:type="dxa"/>
            <w:tcBorders>
              <w:top w:val="single" w:color="auto" w:sz="2" w:space="0"/>
              <w:left w:val="single" w:color="auto" w:sz="2" w:space="0"/>
              <w:bottom w:val="single" w:color="auto" w:sz="2" w:space="0"/>
              <w:right w:val="single" w:color="auto" w:sz="2" w:space="0"/>
            </w:tcBorders>
            <w:vAlign w:val="center"/>
          </w:tcPr>
          <w:p w14:paraId="0D587DE5">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3259EE1">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8CA1D47">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AF3D9D9">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38E7D2A">
            <w:pPr>
              <w:spacing w:before="0" w:after="0" w:line="240" w:lineRule="exact"/>
              <w:jc w:val="right"/>
              <w:rPr>
                <w:rFonts w:ascii="宋体" w:hAnsi="宋体" w:eastAsia="宋体" w:cs="宋体"/>
                <w:color w:val="auto"/>
                <w:sz w:val="18"/>
                <w:szCs w:val="18"/>
              </w:rPr>
            </w:pPr>
          </w:p>
        </w:tc>
      </w:tr>
      <w:tr w14:paraId="7A0D47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E1ADA15">
            <w:pPr>
              <w:spacing w:before="0" w:after="0" w:line="240" w:lineRule="exact"/>
              <w:jc w:val="lef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ED430E2">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D1BF51F">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81C9728">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D3F1075">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A9A1DB1">
            <w:pPr>
              <w:spacing w:before="0" w:after="0" w:line="240" w:lineRule="exact"/>
              <w:jc w:val="right"/>
              <w:rPr>
                <w:rFonts w:ascii="宋体" w:hAnsi="宋体" w:eastAsia="宋体" w:cs="宋体"/>
                <w:color w:val="auto"/>
                <w:sz w:val="18"/>
                <w:szCs w:val="18"/>
              </w:rPr>
            </w:pPr>
          </w:p>
        </w:tc>
      </w:tr>
      <w:tr w14:paraId="34BDD5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4B6409F">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3.本期减少金额</w:t>
            </w:r>
          </w:p>
        </w:tc>
        <w:tc>
          <w:tcPr>
            <w:tcW w:w="1606" w:type="dxa"/>
            <w:tcBorders>
              <w:top w:val="single" w:color="auto" w:sz="2" w:space="0"/>
              <w:left w:val="single" w:color="auto" w:sz="2" w:space="0"/>
              <w:bottom w:val="single" w:color="auto" w:sz="2" w:space="0"/>
              <w:right w:val="single" w:color="auto" w:sz="2" w:space="0"/>
            </w:tcBorders>
            <w:vAlign w:val="center"/>
          </w:tcPr>
          <w:p w14:paraId="64192F09">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DF76B5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206,156.30</w:t>
            </w:r>
          </w:p>
        </w:tc>
        <w:tc>
          <w:tcPr>
            <w:tcW w:w="1606" w:type="dxa"/>
            <w:tcBorders>
              <w:top w:val="single" w:color="auto" w:sz="2" w:space="0"/>
              <w:left w:val="single" w:color="auto" w:sz="2" w:space="0"/>
              <w:bottom w:val="single" w:color="auto" w:sz="2" w:space="0"/>
              <w:right w:val="single" w:color="auto" w:sz="2" w:space="0"/>
            </w:tcBorders>
            <w:vAlign w:val="center"/>
          </w:tcPr>
          <w:p w14:paraId="378AE82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1,305.08</w:t>
            </w:r>
          </w:p>
        </w:tc>
        <w:tc>
          <w:tcPr>
            <w:tcW w:w="1606" w:type="dxa"/>
            <w:tcBorders>
              <w:top w:val="single" w:color="auto" w:sz="2" w:space="0"/>
              <w:left w:val="single" w:color="auto" w:sz="2" w:space="0"/>
              <w:bottom w:val="single" w:color="auto" w:sz="2" w:space="0"/>
              <w:right w:val="single" w:color="auto" w:sz="2" w:space="0"/>
            </w:tcBorders>
            <w:vAlign w:val="center"/>
          </w:tcPr>
          <w:p w14:paraId="289B5BD2">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2632ACE">
            <w:pPr>
              <w:spacing w:before="0" w:after="0" w:line="240" w:lineRule="exact"/>
              <w:jc w:val="right"/>
              <w:rPr>
                <w:rFonts w:ascii="宋体" w:hAnsi="宋体" w:eastAsia="宋体" w:cs="宋体"/>
                <w:color w:val="auto"/>
                <w:sz w:val="18"/>
                <w:szCs w:val="18"/>
              </w:rPr>
            </w:pPr>
          </w:p>
        </w:tc>
      </w:tr>
      <w:tr w14:paraId="211048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FA91D7D">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（1）处置或报废</w:t>
            </w:r>
          </w:p>
        </w:tc>
        <w:tc>
          <w:tcPr>
            <w:tcW w:w="1606" w:type="dxa"/>
            <w:tcBorders>
              <w:top w:val="single" w:color="auto" w:sz="2" w:space="0"/>
              <w:left w:val="single" w:color="auto" w:sz="2" w:space="0"/>
              <w:bottom w:val="single" w:color="auto" w:sz="2" w:space="0"/>
              <w:right w:val="single" w:color="auto" w:sz="2" w:space="0"/>
            </w:tcBorders>
            <w:vAlign w:val="center"/>
          </w:tcPr>
          <w:p w14:paraId="13C5677E">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E1710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206,156.30</w:t>
            </w:r>
          </w:p>
        </w:tc>
        <w:tc>
          <w:tcPr>
            <w:tcW w:w="1606" w:type="dxa"/>
            <w:tcBorders>
              <w:top w:val="single" w:color="auto" w:sz="2" w:space="0"/>
              <w:left w:val="single" w:color="auto" w:sz="2" w:space="0"/>
              <w:bottom w:val="single" w:color="auto" w:sz="2" w:space="0"/>
              <w:right w:val="single" w:color="auto" w:sz="2" w:space="0"/>
            </w:tcBorders>
            <w:vAlign w:val="center"/>
          </w:tcPr>
          <w:p w14:paraId="27E8CE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1,305.08</w:t>
            </w:r>
          </w:p>
        </w:tc>
        <w:tc>
          <w:tcPr>
            <w:tcW w:w="1606" w:type="dxa"/>
            <w:tcBorders>
              <w:top w:val="single" w:color="auto" w:sz="2" w:space="0"/>
              <w:left w:val="single" w:color="auto" w:sz="2" w:space="0"/>
              <w:bottom w:val="single" w:color="auto" w:sz="2" w:space="0"/>
              <w:right w:val="single" w:color="auto" w:sz="2" w:space="0"/>
            </w:tcBorders>
            <w:vAlign w:val="center"/>
          </w:tcPr>
          <w:p w14:paraId="0573E0A8">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74863F4">
            <w:pPr>
              <w:spacing w:before="0" w:after="0" w:line="240" w:lineRule="exact"/>
              <w:jc w:val="right"/>
              <w:rPr>
                <w:rFonts w:ascii="宋体" w:hAnsi="宋体" w:eastAsia="宋体" w:cs="宋体"/>
                <w:color w:val="auto"/>
                <w:sz w:val="18"/>
                <w:szCs w:val="18"/>
              </w:rPr>
            </w:pPr>
          </w:p>
        </w:tc>
      </w:tr>
      <w:tr w14:paraId="14A160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FD37551">
            <w:pPr>
              <w:spacing w:before="0" w:after="0" w:line="240" w:lineRule="exact"/>
              <w:jc w:val="lef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AD00E65">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6D0C6EA">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970E1F6">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7178C44">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7348814">
            <w:pPr>
              <w:spacing w:before="0" w:after="0" w:line="240" w:lineRule="exact"/>
              <w:jc w:val="right"/>
              <w:rPr>
                <w:rFonts w:ascii="宋体" w:hAnsi="宋体" w:eastAsia="宋体" w:cs="宋体"/>
                <w:color w:val="auto"/>
                <w:sz w:val="18"/>
                <w:szCs w:val="18"/>
              </w:rPr>
            </w:pPr>
          </w:p>
        </w:tc>
      </w:tr>
      <w:tr w14:paraId="75F594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ACAD645">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4.期末余额</w:t>
            </w:r>
          </w:p>
        </w:tc>
        <w:tc>
          <w:tcPr>
            <w:tcW w:w="1606" w:type="dxa"/>
            <w:tcBorders>
              <w:top w:val="single" w:color="auto" w:sz="2" w:space="0"/>
              <w:left w:val="single" w:color="auto" w:sz="2" w:space="0"/>
              <w:bottom w:val="single" w:color="auto" w:sz="2" w:space="0"/>
              <w:right w:val="single" w:color="auto" w:sz="2" w:space="0"/>
            </w:tcBorders>
            <w:vAlign w:val="center"/>
          </w:tcPr>
          <w:p w14:paraId="42121D8D">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226CA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4,078,826.34</w:t>
            </w:r>
          </w:p>
        </w:tc>
        <w:tc>
          <w:tcPr>
            <w:tcW w:w="1606" w:type="dxa"/>
            <w:tcBorders>
              <w:top w:val="single" w:color="auto" w:sz="2" w:space="0"/>
              <w:left w:val="single" w:color="auto" w:sz="2" w:space="0"/>
              <w:bottom w:val="single" w:color="auto" w:sz="2" w:space="0"/>
              <w:right w:val="single" w:color="auto" w:sz="2" w:space="0"/>
            </w:tcBorders>
            <w:vAlign w:val="center"/>
          </w:tcPr>
          <w:p w14:paraId="69E8311D">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6BF2C22">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25C02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4,078,826.34</w:t>
            </w:r>
          </w:p>
        </w:tc>
      </w:tr>
      <w:tr w14:paraId="0F35B6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4418F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四、账面价值</w:t>
            </w:r>
          </w:p>
        </w:tc>
        <w:tc>
          <w:tcPr>
            <w:tcW w:w="1606" w:type="dxa"/>
            <w:tcBorders>
              <w:top w:val="single" w:color="auto" w:sz="2" w:space="0"/>
              <w:left w:val="single" w:color="auto" w:sz="2" w:space="0"/>
              <w:bottom w:val="single" w:color="auto" w:sz="2" w:space="0"/>
              <w:right w:val="single" w:color="auto" w:sz="2" w:space="0"/>
            </w:tcBorders>
            <w:vAlign w:val="center"/>
          </w:tcPr>
          <w:p w14:paraId="6FB4DEB0">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53208FD">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AA4B78E">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D1506BB">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A02F59E">
            <w:pPr>
              <w:spacing w:before="0" w:after="0" w:line="240" w:lineRule="exact"/>
              <w:jc w:val="right"/>
              <w:rPr>
                <w:rFonts w:ascii="宋体" w:hAnsi="宋体" w:eastAsia="宋体" w:cs="宋体"/>
                <w:color w:val="auto"/>
                <w:sz w:val="18"/>
                <w:szCs w:val="18"/>
              </w:rPr>
            </w:pPr>
          </w:p>
        </w:tc>
      </w:tr>
      <w:tr w14:paraId="0B43AC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6A21BC9">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1.期末账面价值</w:t>
            </w:r>
          </w:p>
        </w:tc>
        <w:tc>
          <w:tcPr>
            <w:tcW w:w="1606" w:type="dxa"/>
            <w:tcBorders>
              <w:top w:val="single" w:color="auto" w:sz="2" w:space="0"/>
              <w:left w:val="single" w:color="auto" w:sz="2" w:space="0"/>
              <w:bottom w:val="single" w:color="auto" w:sz="2" w:space="0"/>
              <w:right w:val="single" w:color="auto" w:sz="2" w:space="0"/>
            </w:tcBorders>
            <w:vAlign w:val="center"/>
          </w:tcPr>
          <w:p w14:paraId="00D317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392,179,630.53</w:t>
            </w:r>
          </w:p>
        </w:tc>
        <w:tc>
          <w:tcPr>
            <w:tcW w:w="1606" w:type="dxa"/>
            <w:tcBorders>
              <w:top w:val="single" w:color="auto" w:sz="2" w:space="0"/>
              <w:left w:val="single" w:color="auto" w:sz="2" w:space="0"/>
              <w:bottom w:val="single" w:color="auto" w:sz="2" w:space="0"/>
              <w:right w:val="single" w:color="auto" w:sz="2" w:space="0"/>
            </w:tcBorders>
            <w:vAlign w:val="center"/>
          </w:tcPr>
          <w:p w14:paraId="70CAEB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137,371,322.03</w:t>
            </w:r>
          </w:p>
        </w:tc>
        <w:tc>
          <w:tcPr>
            <w:tcW w:w="1606" w:type="dxa"/>
            <w:tcBorders>
              <w:top w:val="single" w:color="auto" w:sz="2" w:space="0"/>
              <w:left w:val="single" w:color="auto" w:sz="2" w:space="0"/>
              <w:bottom w:val="single" w:color="auto" w:sz="2" w:space="0"/>
              <w:right w:val="single" w:color="auto" w:sz="2" w:space="0"/>
            </w:tcBorders>
            <w:vAlign w:val="center"/>
          </w:tcPr>
          <w:p w14:paraId="1081E85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7,731,908.06</w:t>
            </w:r>
          </w:p>
        </w:tc>
        <w:tc>
          <w:tcPr>
            <w:tcW w:w="1606" w:type="dxa"/>
            <w:tcBorders>
              <w:top w:val="single" w:color="auto" w:sz="2" w:space="0"/>
              <w:left w:val="single" w:color="auto" w:sz="2" w:space="0"/>
              <w:bottom w:val="single" w:color="auto" w:sz="2" w:space="0"/>
              <w:right w:val="single" w:color="auto" w:sz="2" w:space="0"/>
            </w:tcBorders>
            <w:vAlign w:val="center"/>
          </w:tcPr>
          <w:p w14:paraId="26959B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1,354,012.77</w:t>
            </w:r>
          </w:p>
        </w:tc>
        <w:tc>
          <w:tcPr>
            <w:tcW w:w="1606" w:type="dxa"/>
            <w:tcBorders>
              <w:top w:val="single" w:color="auto" w:sz="2" w:space="0"/>
              <w:left w:val="single" w:color="auto" w:sz="2" w:space="0"/>
              <w:bottom w:val="single" w:color="auto" w:sz="2" w:space="0"/>
              <w:right w:val="single" w:color="auto" w:sz="2" w:space="0"/>
            </w:tcBorders>
            <w:vAlign w:val="center"/>
          </w:tcPr>
          <w:p w14:paraId="1DFE225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538,636,873.39</w:t>
            </w:r>
          </w:p>
        </w:tc>
      </w:tr>
      <w:tr w14:paraId="565678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57360D5">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2.期初账面价值</w:t>
            </w:r>
          </w:p>
        </w:tc>
        <w:tc>
          <w:tcPr>
            <w:tcW w:w="1606" w:type="dxa"/>
            <w:tcBorders>
              <w:top w:val="single" w:color="auto" w:sz="2" w:space="0"/>
              <w:left w:val="single" w:color="auto" w:sz="2" w:space="0"/>
              <w:bottom w:val="single" w:color="auto" w:sz="2" w:space="0"/>
              <w:right w:val="single" w:color="auto" w:sz="2" w:space="0"/>
            </w:tcBorders>
            <w:vAlign w:val="center"/>
          </w:tcPr>
          <w:p w14:paraId="2B6581D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406,145,938.62</w:t>
            </w:r>
          </w:p>
        </w:tc>
        <w:tc>
          <w:tcPr>
            <w:tcW w:w="1606" w:type="dxa"/>
            <w:tcBorders>
              <w:top w:val="single" w:color="auto" w:sz="2" w:space="0"/>
              <w:left w:val="single" w:color="auto" w:sz="2" w:space="0"/>
              <w:bottom w:val="single" w:color="auto" w:sz="2" w:space="0"/>
              <w:right w:val="single" w:color="auto" w:sz="2" w:space="0"/>
            </w:tcBorders>
            <w:vAlign w:val="center"/>
          </w:tcPr>
          <w:p w14:paraId="6338BE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141,619,329.53</w:t>
            </w:r>
          </w:p>
        </w:tc>
        <w:tc>
          <w:tcPr>
            <w:tcW w:w="1606" w:type="dxa"/>
            <w:tcBorders>
              <w:top w:val="single" w:color="auto" w:sz="2" w:space="0"/>
              <w:left w:val="single" w:color="auto" w:sz="2" w:space="0"/>
              <w:bottom w:val="single" w:color="auto" w:sz="2" w:space="0"/>
              <w:right w:val="single" w:color="auto" w:sz="2" w:space="0"/>
            </w:tcBorders>
            <w:vAlign w:val="center"/>
          </w:tcPr>
          <w:p w14:paraId="720F22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8,837,998.83</w:t>
            </w:r>
          </w:p>
        </w:tc>
        <w:tc>
          <w:tcPr>
            <w:tcW w:w="1606" w:type="dxa"/>
            <w:tcBorders>
              <w:top w:val="single" w:color="auto" w:sz="2" w:space="0"/>
              <w:left w:val="single" w:color="auto" w:sz="2" w:space="0"/>
              <w:bottom w:val="single" w:color="auto" w:sz="2" w:space="0"/>
              <w:right w:val="single" w:color="auto" w:sz="2" w:space="0"/>
            </w:tcBorders>
            <w:vAlign w:val="center"/>
          </w:tcPr>
          <w:p w14:paraId="08861C5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1,658,302.74</w:t>
            </w:r>
          </w:p>
        </w:tc>
        <w:tc>
          <w:tcPr>
            <w:tcW w:w="1606" w:type="dxa"/>
            <w:tcBorders>
              <w:top w:val="single" w:color="auto" w:sz="2" w:space="0"/>
              <w:left w:val="single" w:color="auto" w:sz="2" w:space="0"/>
              <w:bottom w:val="single" w:color="auto" w:sz="2" w:space="0"/>
              <w:right w:val="single" w:color="auto" w:sz="2" w:space="0"/>
            </w:tcBorders>
            <w:vAlign w:val="center"/>
          </w:tcPr>
          <w:p w14:paraId="1569F06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558,261,569.72</w:t>
            </w:r>
          </w:p>
        </w:tc>
      </w:tr>
    </w:tbl>
    <w:p w14:paraId="1750FE8F">
      <w:pPr>
        <w:keepNext/>
        <w:keepLines/>
        <w:spacing w:before="300" w:after="300" w:line="280" w:lineRule="exact"/>
        <w:jc w:val="left"/>
        <w:outlineLvl w:val="3"/>
        <w:rPr>
          <w:rFonts w:ascii="宋体" w:hAnsi="宋体" w:eastAsia="宋体" w:cs="宋体"/>
          <w:b/>
          <w:bCs/>
          <w:color w:val="auto"/>
          <w:sz w:val="21"/>
          <w:szCs w:val="21"/>
        </w:rPr>
      </w:pPr>
      <w:bookmarkStart w:id="169" w:name="_Toc989145"/>
      <w:r>
        <w:rPr>
          <w:rFonts w:ascii="宋体" w:hAnsi="宋体" w:eastAsia="宋体" w:cs="宋体"/>
          <w:b/>
          <w:bCs/>
          <w:color w:val="auto"/>
          <w:sz w:val="21"/>
          <w:szCs w:val="21"/>
        </w:rPr>
        <w:t>（2）暂时闲置的固定资产情况</w:t>
      </w:r>
      <w:bookmarkEnd w:id="169"/>
    </w:p>
    <w:p w14:paraId="41619A3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4C3BA3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2C8C7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36337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账面原值</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26A468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累计折旧</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3F316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7AEBD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BA2874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备注</w:t>
            </w:r>
          </w:p>
        </w:tc>
      </w:tr>
      <w:tr w14:paraId="44F129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0DBB45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机器设备</w:t>
            </w:r>
          </w:p>
        </w:tc>
        <w:tc>
          <w:tcPr>
            <w:tcW w:w="1606" w:type="dxa"/>
            <w:tcBorders>
              <w:top w:val="single" w:color="auto" w:sz="2" w:space="0"/>
              <w:left w:val="single" w:color="auto" w:sz="2" w:space="0"/>
              <w:bottom w:val="single" w:color="auto" w:sz="2" w:space="0"/>
              <w:right w:val="single" w:color="auto" w:sz="2" w:space="0"/>
            </w:tcBorders>
            <w:vAlign w:val="center"/>
          </w:tcPr>
          <w:p w14:paraId="5CC660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41,643,248.69</w:t>
            </w:r>
          </w:p>
        </w:tc>
        <w:tc>
          <w:tcPr>
            <w:tcW w:w="1606" w:type="dxa"/>
            <w:tcBorders>
              <w:top w:val="single" w:color="auto" w:sz="2" w:space="0"/>
              <w:left w:val="single" w:color="auto" w:sz="2" w:space="0"/>
              <w:bottom w:val="single" w:color="auto" w:sz="2" w:space="0"/>
              <w:right w:val="single" w:color="auto" w:sz="2" w:space="0"/>
            </w:tcBorders>
            <w:vAlign w:val="center"/>
          </w:tcPr>
          <w:p w14:paraId="6E8D43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6,360,974.74</w:t>
            </w:r>
          </w:p>
        </w:tc>
        <w:tc>
          <w:tcPr>
            <w:tcW w:w="1606" w:type="dxa"/>
            <w:tcBorders>
              <w:top w:val="single" w:color="auto" w:sz="2" w:space="0"/>
              <w:left w:val="single" w:color="auto" w:sz="2" w:space="0"/>
              <w:bottom w:val="single" w:color="auto" w:sz="2" w:space="0"/>
              <w:right w:val="single" w:color="auto" w:sz="2" w:space="0"/>
            </w:tcBorders>
            <w:vAlign w:val="center"/>
          </w:tcPr>
          <w:p w14:paraId="4C4308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4,078,826.34</w:t>
            </w:r>
          </w:p>
        </w:tc>
        <w:tc>
          <w:tcPr>
            <w:tcW w:w="1606" w:type="dxa"/>
            <w:tcBorders>
              <w:top w:val="single" w:color="auto" w:sz="2" w:space="0"/>
              <w:left w:val="single" w:color="auto" w:sz="2" w:space="0"/>
              <w:bottom w:val="single" w:color="auto" w:sz="2" w:space="0"/>
              <w:right w:val="single" w:color="auto" w:sz="2" w:space="0"/>
            </w:tcBorders>
            <w:vAlign w:val="center"/>
          </w:tcPr>
          <w:p w14:paraId="197901D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31,203,447.61</w:t>
            </w:r>
          </w:p>
        </w:tc>
        <w:tc>
          <w:tcPr>
            <w:tcW w:w="1606" w:type="dxa"/>
            <w:tcBorders>
              <w:top w:val="single" w:color="auto" w:sz="2" w:space="0"/>
              <w:left w:val="single" w:color="auto" w:sz="2" w:space="0"/>
              <w:bottom w:val="single" w:color="auto" w:sz="2" w:space="0"/>
              <w:right w:val="single" w:color="auto" w:sz="2" w:space="0"/>
            </w:tcBorders>
            <w:vAlign w:val="center"/>
          </w:tcPr>
          <w:p w14:paraId="3B617295">
            <w:pPr>
              <w:spacing w:before="0" w:after="0" w:line="240" w:lineRule="exact"/>
              <w:jc w:val="left"/>
              <w:rPr>
                <w:rFonts w:ascii="宋体" w:hAnsi="宋体" w:eastAsia="宋体" w:cs="宋体"/>
                <w:color w:val="auto"/>
                <w:sz w:val="18"/>
                <w:szCs w:val="18"/>
              </w:rPr>
            </w:pPr>
          </w:p>
        </w:tc>
      </w:tr>
      <w:tr w14:paraId="2602C9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8E5816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办公设备</w:t>
            </w:r>
          </w:p>
        </w:tc>
        <w:tc>
          <w:tcPr>
            <w:tcW w:w="1606" w:type="dxa"/>
            <w:tcBorders>
              <w:top w:val="single" w:color="auto" w:sz="2" w:space="0"/>
              <w:left w:val="single" w:color="auto" w:sz="2" w:space="0"/>
              <w:bottom w:val="single" w:color="auto" w:sz="2" w:space="0"/>
              <w:right w:val="single" w:color="auto" w:sz="2" w:space="0"/>
            </w:tcBorders>
            <w:vAlign w:val="center"/>
          </w:tcPr>
          <w:p w14:paraId="31D740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511.11</w:t>
            </w:r>
          </w:p>
        </w:tc>
        <w:tc>
          <w:tcPr>
            <w:tcW w:w="1606" w:type="dxa"/>
            <w:tcBorders>
              <w:top w:val="single" w:color="auto" w:sz="2" w:space="0"/>
              <w:left w:val="single" w:color="auto" w:sz="2" w:space="0"/>
              <w:bottom w:val="single" w:color="auto" w:sz="2" w:space="0"/>
              <w:right w:val="single" w:color="auto" w:sz="2" w:space="0"/>
            </w:tcBorders>
            <w:vAlign w:val="center"/>
          </w:tcPr>
          <w:p w14:paraId="796CFC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485.55</w:t>
            </w:r>
          </w:p>
        </w:tc>
        <w:tc>
          <w:tcPr>
            <w:tcW w:w="1606" w:type="dxa"/>
            <w:tcBorders>
              <w:top w:val="single" w:color="auto" w:sz="2" w:space="0"/>
              <w:left w:val="single" w:color="auto" w:sz="2" w:space="0"/>
              <w:bottom w:val="single" w:color="auto" w:sz="2" w:space="0"/>
              <w:right w:val="single" w:color="auto" w:sz="2" w:space="0"/>
            </w:tcBorders>
            <w:vAlign w:val="center"/>
          </w:tcPr>
          <w:p w14:paraId="2264E35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1606" w:type="dxa"/>
            <w:tcBorders>
              <w:top w:val="single" w:color="auto" w:sz="2" w:space="0"/>
              <w:left w:val="single" w:color="auto" w:sz="2" w:space="0"/>
              <w:bottom w:val="single" w:color="auto" w:sz="2" w:space="0"/>
              <w:right w:val="single" w:color="auto" w:sz="2" w:space="0"/>
            </w:tcBorders>
            <w:vAlign w:val="center"/>
          </w:tcPr>
          <w:p w14:paraId="01F633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25.56</w:t>
            </w:r>
          </w:p>
        </w:tc>
        <w:tc>
          <w:tcPr>
            <w:tcW w:w="1606" w:type="dxa"/>
            <w:tcBorders>
              <w:top w:val="single" w:color="auto" w:sz="2" w:space="0"/>
              <w:left w:val="single" w:color="auto" w:sz="2" w:space="0"/>
              <w:bottom w:val="single" w:color="auto" w:sz="2" w:space="0"/>
              <w:right w:val="single" w:color="auto" w:sz="2" w:space="0"/>
            </w:tcBorders>
            <w:vAlign w:val="center"/>
          </w:tcPr>
          <w:p w14:paraId="7134D48C">
            <w:pPr>
              <w:spacing w:before="0" w:after="0" w:line="240" w:lineRule="exact"/>
              <w:jc w:val="left"/>
              <w:rPr>
                <w:rFonts w:ascii="宋体" w:hAnsi="宋体" w:eastAsia="宋体" w:cs="宋体"/>
                <w:color w:val="auto"/>
                <w:sz w:val="18"/>
                <w:szCs w:val="18"/>
              </w:rPr>
            </w:pPr>
          </w:p>
        </w:tc>
      </w:tr>
      <w:tr w14:paraId="53E927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A7CF36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6B03C6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41,643,759.80</w:t>
            </w:r>
          </w:p>
        </w:tc>
        <w:tc>
          <w:tcPr>
            <w:tcW w:w="1606" w:type="dxa"/>
            <w:tcBorders>
              <w:top w:val="single" w:color="auto" w:sz="2" w:space="0"/>
              <w:left w:val="single" w:color="auto" w:sz="2" w:space="0"/>
              <w:bottom w:val="single" w:color="auto" w:sz="2" w:space="0"/>
              <w:right w:val="single" w:color="auto" w:sz="2" w:space="0"/>
            </w:tcBorders>
            <w:vAlign w:val="center"/>
          </w:tcPr>
          <w:p w14:paraId="7D74FE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6,361,460.29</w:t>
            </w:r>
          </w:p>
        </w:tc>
        <w:tc>
          <w:tcPr>
            <w:tcW w:w="1606" w:type="dxa"/>
            <w:tcBorders>
              <w:top w:val="single" w:color="auto" w:sz="2" w:space="0"/>
              <w:left w:val="single" w:color="auto" w:sz="2" w:space="0"/>
              <w:bottom w:val="single" w:color="auto" w:sz="2" w:space="0"/>
              <w:right w:val="single" w:color="auto" w:sz="2" w:space="0"/>
            </w:tcBorders>
            <w:vAlign w:val="center"/>
          </w:tcPr>
          <w:p w14:paraId="429A3D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4,078,826.34</w:t>
            </w:r>
          </w:p>
        </w:tc>
        <w:tc>
          <w:tcPr>
            <w:tcW w:w="1606" w:type="dxa"/>
            <w:tcBorders>
              <w:top w:val="single" w:color="auto" w:sz="2" w:space="0"/>
              <w:left w:val="single" w:color="auto" w:sz="2" w:space="0"/>
              <w:bottom w:val="single" w:color="auto" w:sz="2" w:space="0"/>
              <w:right w:val="single" w:color="auto" w:sz="2" w:space="0"/>
            </w:tcBorders>
            <w:vAlign w:val="center"/>
          </w:tcPr>
          <w:p w14:paraId="09B7091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31,203,473.17</w:t>
            </w:r>
          </w:p>
        </w:tc>
        <w:tc>
          <w:tcPr>
            <w:tcW w:w="1606" w:type="dxa"/>
            <w:tcBorders>
              <w:top w:val="single" w:color="auto" w:sz="2" w:space="0"/>
              <w:left w:val="single" w:color="auto" w:sz="2" w:space="0"/>
              <w:bottom w:val="single" w:color="auto" w:sz="2" w:space="0"/>
              <w:right w:val="single" w:color="auto" w:sz="2" w:space="0"/>
            </w:tcBorders>
            <w:vAlign w:val="center"/>
          </w:tcPr>
          <w:p w14:paraId="3E60CE49">
            <w:pPr>
              <w:spacing w:before="0" w:after="0" w:line="240" w:lineRule="exact"/>
              <w:jc w:val="left"/>
              <w:rPr>
                <w:rFonts w:ascii="宋体" w:hAnsi="宋体" w:eastAsia="宋体" w:cs="宋体"/>
                <w:color w:val="auto"/>
                <w:sz w:val="18"/>
                <w:szCs w:val="18"/>
              </w:rPr>
            </w:pPr>
          </w:p>
        </w:tc>
      </w:tr>
    </w:tbl>
    <w:p w14:paraId="184AA571">
      <w:pPr>
        <w:keepNext/>
        <w:keepLines/>
        <w:spacing w:before="300" w:after="300" w:line="280" w:lineRule="exact"/>
        <w:jc w:val="left"/>
        <w:outlineLvl w:val="3"/>
        <w:rPr>
          <w:rFonts w:ascii="宋体" w:hAnsi="宋体" w:eastAsia="宋体" w:cs="宋体"/>
          <w:b/>
          <w:bCs/>
          <w:color w:val="auto"/>
          <w:sz w:val="21"/>
          <w:szCs w:val="21"/>
        </w:rPr>
      </w:pPr>
      <w:bookmarkStart w:id="170" w:name="_Toc989146"/>
      <w:r>
        <w:rPr>
          <w:rFonts w:ascii="宋体" w:hAnsi="宋体" w:eastAsia="宋体" w:cs="宋体"/>
          <w:b/>
          <w:bCs/>
          <w:color w:val="auto"/>
          <w:sz w:val="21"/>
          <w:szCs w:val="21"/>
        </w:rPr>
        <w:t>（3）通过经营租赁租出的固定资产</w:t>
      </w:r>
      <w:bookmarkEnd w:id="170"/>
    </w:p>
    <w:p w14:paraId="57E16C8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04CD2A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0D72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4512A6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期末账面价值</w:t>
            </w:r>
          </w:p>
        </w:tc>
      </w:tr>
      <w:tr w14:paraId="5AC022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BD3FDC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房屋及建筑物</w:t>
            </w:r>
          </w:p>
        </w:tc>
        <w:tc>
          <w:tcPr>
            <w:tcW w:w="4820" w:type="dxa"/>
            <w:tcBorders>
              <w:top w:val="single" w:color="auto" w:sz="2" w:space="0"/>
              <w:left w:val="single" w:color="auto" w:sz="2" w:space="0"/>
              <w:bottom w:val="single" w:color="auto" w:sz="2" w:space="0"/>
              <w:right w:val="single" w:color="auto" w:sz="2" w:space="0"/>
            </w:tcBorders>
            <w:vAlign w:val="center"/>
          </w:tcPr>
          <w:p w14:paraId="2BA74D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42,486,026.86</w:t>
            </w:r>
          </w:p>
        </w:tc>
      </w:tr>
    </w:tbl>
    <w:p w14:paraId="69BA035A">
      <w:pPr>
        <w:keepNext/>
        <w:keepLines/>
        <w:spacing w:before="300" w:after="300" w:line="280" w:lineRule="exact"/>
        <w:jc w:val="left"/>
        <w:outlineLvl w:val="3"/>
        <w:rPr>
          <w:rFonts w:ascii="宋体" w:hAnsi="宋体" w:eastAsia="宋体" w:cs="宋体"/>
          <w:b/>
          <w:bCs/>
          <w:color w:val="auto"/>
          <w:sz w:val="21"/>
          <w:szCs w:val="21"/>
        </w:rPr>
      </w:pPr>
      <w:bookmarkStart w:id="171" w:name="_Toc989147"/>
      <w:r>
        <w:rPr>
          <w:rFonts w:ascii="宋体" w:hAnsi="宋体" w:eastAsia="宋体" w:cs="宋体"/>
          <w:b/>
          <w:bCs/>
          <w:color w:val="auto"/>
          <w:sz w:val="21"/>
          <w:szCs w:val="21"/>
        </w:rPr>
        <w:t>（4）未办妥产权证书的固定资产情况</w:t>
      </w:r>
      <w:bookmarkEnd w:id="171"/>
    </w:p>
    <w:p w14:paraId="0B6792C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2F487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99BA3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5D096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3945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未办妥产权证书的原因</w:t>
            </w:r>
          </w:p>
        </w:tc>
      </w:tr>
    </w:tbl>
    <w:p w14:paraId="37C48C8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3F71BEFC">
      <w:pPr>
        <w:pStyle w:val="4"/>
        <w:keepNext w:val="0"/>
        <w:keepLines w:val="0"/>
        <w:widowControl/>
        <w:suppressLineNumbers w:val="0"/>
        <w:spacing w:line="360" w:lineRule="auto"/>
        <w:ind w:left="420" w:right="0"/>
        <w:rPr>
          <w:rFonts w:hint="default" w:ascii="Times New Roman" w:hAnsi="Times New Roman" w:cs="Times New Roman"/>
          <w:color w:val="auto"/>
          <w:sz w:val="24"/>
          <w:szCs w:val="24"/>
        </w:rPr>
      </w:pPr>
      <w:r>
        <w:rPr>
          <w:rFonts w:hint="eastAsia" w:ascii="宋体" w:hAnsi="宋体" w:eastAsia="宋体" w:cs="宋体"/>
          <w:color w:val="auto"/>
          <w:sz w:val="21"/>
          <w:szCs w:val="21"/>
        </w:rPr>
        <w:t>经营租赁未来五年收款额：</w:t>
      </w:r>
    </w:p>
    <w:tbl>
      <w:tblPr>
        <w:tblStyle w:val="5"/>
        <w:tblW w:w="955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02"/>
        <w:gridCol w:w="3300"/>
        <w:gridCol w:w="4250"/>
      </w:tblGrid>
      <w:tr w14:paraId="4BBFF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1"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B84A1C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剩余租赁年限</w:t>
            </w:r>
          </w:p>
        </w:tc>
        <w:tc>
          <w:tcPr>
            <w:tcW w:w="33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4D9E6B2">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期末余额</w:t>
            </w:r>
          </w:p>
        </w:tc>
        <w:tc>
          <w:tcPr>
            <w:tcW w:w="42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B27FF5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期初余额</w:t>
            </w:r>
          </w:p>
        </w:tc>
      </w:tr>
      <w:tr w14:paraId="777DE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B151B86">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1年以内</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76105369">
            <w:pPr>
              <w:keepNext w:val="0"/>
              <w:keepLines w:val="0"/>
              <w:widowControl/>
              <w:suppressLineNumbers w:val="0"/>
              <w:jc w:val="righ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5,473,225.32 </w:t>
            </w:r>
          </w:p>
        </w:tc>
        <w:tc>
          <w:tcPr>
            <w:tcW w:w="42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80D3229">
            <w:pPr>
              <w:keepNext w:val="0"/>
              <w:keepLines w:val="0"/>
              <w:widowControl/>
              <w:suppressLineNumbers w:val="0"/>
              <w:jc w:val="righ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4,833,025.32</w:t>
            </w:r>
          </w:p>
        </w:tc>
      </w:tr>
      <w:tr w14:paraId="4D636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75365F9">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1-2年</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6A1633DD">
            <w:pPr>
              <w:keepNext w:val="0"/>
              <w:keepLines w:val="0"/>
              <w:widowControl/>
              <w:suppressLineNumbers w:val="0"/>
              <w:jc w:val="righ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5,367,265.80 </w:t>
            </w:r>
          </w:p>
        </w:tc>
        <w:tc>
          <w:tcPr>
            <w:tcW w:w="42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E66A673">
            <w:pPr>
              <w:keepNext w:val="0"/>
              <w:keepLines w:val="0"/>
              <w:widowControl/>
              <w:suppressLineNumbers w:val="0"/>
              <w:jc w:val="righ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4,836,640.50</w:t>
            </w:r>
          </w:p>
        </w:tc>
      </w:tr>
      <w:tr w14:paraId="28E6E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95DF6D8">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2-3年</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3494D53F">
            <w:pPr>
              <w:keepNext w:val="0"/>
              <w:keepLines w:val="0"/>
              <w:widowControl/>
              <w:suppressLineNumbers w:val="0"/>
              <w:jc w:val="righ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4,208,686.04 </w:t>
            </w:r>
          </w:p>
        </w:tc>
        <w:tc>
          <w:tcPr>
            <w:tcW w:w="42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BF34629">
            <w:pPr>
              <w:keepNext w:val="0"/>
              <w:keepLines w:val="0"/>
              <w:widowControl/>
              <w:suppressLineNumbers w:val="0"/>
              <w:jc w:val="righ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4,181,686.04</w:t>
            </w:r>
          </w:p>
        </w:tc>
      </w:tr>
      <w:tr w14:paraId="1E302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532AC04">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3-4年</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BD5C781">
            <w:pPr>
              <w:keepNext w:val="0"/>
              <w:keepLines w:val="0"/>
              <w:widowControl/>
              <w:suppressLineNumbers w:val="0"/>
              <w:jc w:val="righ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3,792,008.92 </w:t>
            </w:r>
          </w:p>
        </w:tc>
        <w:tc>
          <w:tcPr>
            <w:tcW w:w="42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673A7D7">
            <w:pPr>
              <w:keepNext w:val="0"/>
              <w:keepLines w:val="0"/>
              <w:widowControl/>
              <w:suppressLineNumbers w:val="0"/>
              <w:jc w:val="righ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3,715,557.12</w:t>
            </w:r>
          </w:p>
        </w:tc>
      </w:tr>
      <w:tr w14:paraId="79B0B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A4D2DE3">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4-5年</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B4BA5EF">
            <w:pPr>
              <w:keepNext w:val="0"/>
              <w:keepLines w:val="0"/>
              <w:widowControl/>
              <w:suppressLineNumbers w:val="0"/>
              <w:jc w:val="righ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3,853,170.36 </w:t>
            </w:r>
          </w:p>
        </w:tc>
        <w:tc>
          <w:tcPr>
            <w:tcW w:w="42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00936CC">
            <w:pPr>
              <w:keepNext w:val="0"/>
              <w:keepLines w:val="0"/>
              <w:widowControl/>
              <w:suppressLineNumbers w:val="0"/>
              <w:jc w:val="righ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3,853,170.36</w:t>
            </w:r>
          </w:p>
        </w:tc>
      </w:tr>
      <w:tr w14:paraId="41DF1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3F2387B">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5年以上</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4E6D837C">
            <w:pPr>
              <w:keepNext w:val="0"/>
              <w:keepLines w:val="0"/>
              <w:widowControl/>
              <w:suppressLineNumbers w:val="0"/>
              <w:jc w:val="righ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13,785,236.76 </w:t>
            </w:r>
          </w:p>
        </w:tc>
        <w:tc>
          <w:tcPr>
            <w:tcW w:w="42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AF253FD">
            <w:pPr>
              <w:keepNext w:val="0"/>
              <w:keepLines w:val="0"/>
              <w:widowControl/>
              <w:suppressLineNumbers w:val="0"/>
              <w:jc w:val="righ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15,390,724.41</w:t>
            </w:r>
          </w:p>
        </w:tc>
      </w:tr>
      <w:tr w14:paraId="22853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2002"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ED9E900">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合计</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14:paraId="503C6DA4">
            <w:pPr>
              <w:keepNext w:val="0"/>
              <w:keepLines w:val="0"/>
              <w:widowControl/>
              <w:suppressLineNumbers w:val="0"/>
              <w:jc w:val="right"/>
              <w:textAlignment w:val="bottom"/>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36,479,593.20 </w:t>
            </w:r>
          </w:p>
        </w:tc>
        <w:tc>
          <w:tcPr>
            <w:tcW w:w="425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D21945A">
            <w:pPr>
              <w:keepNext w:val="0"/>
              <w:keepLines w:val="0"/>
              <w:widowControl/>
              <w:suppressLineNumbers w:val="0"/>
              <w:jc w:val="righ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36,810,803.75</w:t>
            </w:r>
          </w:p>
        </w:tc>
      </w:tr>
    </w:tbl>
    <w:p w14:paraId="3DC21796">
      <w:pPr>
        <w:keepNext/>
        <w:keepLines/>
        <w:spacing w:before="300" w:after="300" w:line="280" w:lineRule="exact"/>
        <w:jc w:val="left"/>
        <w:outlineLvl w:val="3"/>
        <w:rPr>
          <w:rFonts w:ascii="宋体" w:hAnsi="宋体" w:eastAsia="宋体" w:cs="宋体"/>
          <w:b/>
          <w:bCs/>
          <w:color w:val="auto"/>
          <w:sz w:val="21"/>
          <w:szCs w:val="21"/>
        </w:rPr>
      </w:pPr>
      <w:bookmarkStart w:id="172" w:name="_Toc989148"/>
      <w:r>
        <w:rPr>
          <w:rFonts w:ascii="宋体" w:hAnsi="宋体" w:eastAsia="宋体" w:cs="宋体"/>
          <w:b/>
          <w:bCs/>
          <w:color w:val="auto"/>
          <w:sz w:val="21"/>
          <w:szCs w:val="21"/>
        </w:rPr>
        <w:t>（5）固定资产的减值测试情况</w:t>
      </w:r>
      <w:bookmarkEnd w:id="172"/>
    </w:p>
    <w:p w14:paraId="14EC1D9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5DD6CC8C">
      <w:pPr>
        <w:keepNext/>
        <w:keepLines/>
        <w:spacing w:before="300" w:after="300" w:line="280" w:lineRule="exact"/>
        <w:jc w:val="left"/>
        <w:outlineLvl w:val="3"/>
        <w:rPr>
          <w:rFonts w:ascii="宋体" w:hAnsi="宋体" w:eastAsia="宋体" w:cs="宋体"/>
          <w:b/>
          <w:bCs/>
          <w:color w:val="auto"/>
          <w:sz w:val="21"/>
          <w:szCs w:val="21"/>
        </w:rPr>
      </w:pPr>
      <w:bookmarkStart w:id="173" w:name="_Toc989149"/>
      <w:r>
        <w:rPr>
          <w:rFonts w:ascii="宋体" w:hAnsi="宋体" w:eastAsia="宋体" w:cs="宋体"/>
          <w:b/>
          <w:bCs/>
          <w:color w:val="auto"/>
          <w:sz w:val="21"/>
          <w:szCs w:val="21"/>
        </w:rPr>
        <w:t>（6）固定资产清理</w:t>
      </w:r>
      <w:bookmarkEnd w:id="173"/>
    </w:p>
    <w:p w14:paraId="64E1A9F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B832C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112BA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1D270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7E8BC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1B51720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1E7FA8F">
      <w:pPr>
        <w:keepNext/>
        <w:keepLines/>
        <w:spacing w:before="300" w:after="300" w:line="280" w:lineRule="exact"/>
        <w:jc w:val="left"/>
        <w:outlineLvl w:val="2"/>
        <w:rPr>
          <w:rFonts w:ascii="宋体" w:hAnsi="宋体" w:eastAsia="宋体" w:cs="宋体"/>
          <w:b/>
          <w:bCs/>
          <w:color w:val="auto"/>
          <w:sz w:val="21"/>
          <w:szCs w:val="21"/>
        </w:rPr>
      </w:pPr>
      <w:bookmarkStart w:id="174" w:name="_Toc989150"/>
      <w:r>
        <w:rPr>
          <w:rFonts w:ascii="宋体" w:hAnsi="宋体" w:eastAsia="宋体" w:cs="宋体"/>
          <w:b/>
          <w:bCs/>
          <w:color w:val="auto"/>
          <w:sz w:val="21"/>
          <w:szCs w:val="21"/>
        </w:rPr>
        <w:t>22、在建工程</w:t>
      </w:r>
      <w:bookmarkEnd w:id="174"/>
    </w:p>
    <w:p w14:paraId="2C29F71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228B9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A8D0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E6D4C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FCD7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1C72F6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403A3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3F0CC68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23,405,870.17</w:t>
            </w:r>
          </w:p>
        </w:tc>
        <w:tc>
          <w:tcPr>
            <w:tcW w:w="3213" w:type="dxa"/>
            <w:tcBorders>
              <w:top w:val="single" w:color="auto" w:sz="2" w:space="0"/>
              <w:left w:val="single" w:color="auto" w:sz="2" w:space="0"/>
              <w:bottom w:val="single" w:color="auto" w:sz="2" w:space="0"/>
              <w:right w:val="single" w:color="auto" w:sz="2" w:space="0"/>
            </w:tcBorders>
            <w:vAlign w:val="center"/>
          </w:tcPr>
          <w:p w14:paraId="527C196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29,763,197.65</w:t>
            </w:r>
          </w:p>
        </w:tc>
      </w:tr>
      <w:tr w14:paraId="491D69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079D1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2EE726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23,405,870.17</w:t>
            </w:r>
          </w:p>
        </w:tc>
        <w:tc>
          <w:tcPr>
            <w:tcW w:w="3213" w:type="dxa"/>
            <w:tcBorders>
              <w:top w:val="single" w:color="auto" w:sz="2" w:space="0"/>
              <w:left w:val="single" w:color="auto" w:sz="2" w:space="0"/>
              <w:bottom w:val="single" w:color="auto" w:sz="2" w:space="0"/>
              <w:right w:val="single" w:color="auto" w:sz="2" w:space="0"/>
            </w:tcBorders>
            <w:vAlign w:val="center"/>
          </w:tcPr>
          <w:p w14:paraId="434C4A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29,763,197.65</w:t>
            </w:r>
          </w:p>
        </w:tc>
      </w:tr>
    </w:tbl>
    <w:p w14:paraId="47638BF6">
      <w:pPr>
        <w:keepNext/>
        <w:keepLines/>
        <w:spacing w:before="300" w:after="300" w:line="280" w:lineRule="exact"/>
        <w:jc w:val="left"/>
        <w:outlineLvl w:val="3"/>
        <w:rPr>
          <w:rFonts w:ascii="宋体" w:hAnsi="宋体" w:eastAsia="宋体" w:cs="宋体"/>
          <w:b/>
          <w:bCs/>
          <w:color w:val="auto"/>
          <w:sz w:val="21"/>
          <w:szCs w:val="21"/>
        </w:rPr>
      </w:pPr>
      <w:bookmarkStart w:id="175" w:name="_Toc989151"/>
      <w:r>
        <w:rPr>
          <w:rFonts w:ascii="宋体" w:hAnsi="宋体" w:eastAsia="宋体" w:cs="宋体"/>
          <w:b/>
          <w:bCs/>
          <w:color w:val="auto"/>
          <w:sz w:val="21"/>
          <w:szCs w:val="21"/>
        </w:rPr>
        <w:t>（1）在建工程情况</w:t>
      </w:r>
      <w:bookmarkEnd w:id="175"/>
    </w:p>
    <w:p w14:paraId="52DA1EA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6805E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88ACDE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259221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F63E5A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00AE5B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E19D50F">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6DE727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85F91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4237B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124BC5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4A359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E4DE9A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3E2853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9B8903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金塘雨水强排池</w:t>
            </w:r>
          </w:p>
        </w:tc>
        <w:tc>
          <w:tcPr>
            <w:tcW w:w="1377" w:type="dxa"/>
            <w:tcBorders>
              <w:top w:val="single" w:color="auto" w:sz="2" w:space="0"/>
              <w:left w:val="single" w:color="auto" w:sz="2" w:space="0"/>
              <w:bottom w:val="single" w:color="auto" w:sz="2" w:space="0"/>
              <w:right w:val="single" w:color="auto" w:sz="2" w:space="0"/>
            </w:tcBorders>
            <w:vAlign w:val="center"/>
          </w:tcPr>
          <w:p w14:paraId="721674DA">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E6DE06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1A7037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139E4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455,351.10</w:t>
            </w:r>
          </w:p>
        </w:tc>
        <w:tc>
          <w:tcPr>
            <w:tcW w:w="1377" w:type="dxa"/>
            <w:tcBorders>
              <w:top w:val="single" w:color="auto" w:sz="2" w:space="0"/>
              <w:left w:val="single" w:color="auto" w:sz="2" w:space="0"/>
              <w:bottom w:val="single" w:color="auto" w:sz="2" w:space="0"/>
              <w:right w:val="single" w:color="auto" w:sz="2" w:space="0"/>
            </w:tcBorders>
            <w:vAlign w:val="center"/>
          </w:tcPr>
          <w:p w14:paraId="3CAFC8C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5504E3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455,351.10</w:t>
            </w:r>
          </w:p>
        </w:tc>
      </w:tr>
      <w:tr w14:paraId="76A146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05C691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待安装设备</w:t>
            </w:r>
          </w:p>
        </w:tc>
        <w:tc>
          <w:tcPr>
            <w:tcW w:w="1377" w:type="dxa"/>
            <w:tcBorders>
              <w:top w:val="single" w:color="auto" w:sz="2" w:space="0"/>
              <w:left w:val="single" w:color="auto" w:sz="2" w:space="0"/>
              <w:bottom w:val="single" w:color="auto" w:sz="2" w:space="0"/>
              <w:right w:val="single" w:color="auto" w:sz="2" w:space="0"/>
            </w:tcBorders>
            <w:vAlign w:val="center"/>
          </w:tcPr>
          <w:p w14:paraId="6CAFC1B8">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0D7FB88">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812DBF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DAA1B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5,033,096.33</w:t>
            </w:r>
          </w:p>
        </w:tc>
        <w:tc>
          <w:tcPr>
            <w:tcW w:w="1377" w:type="dxa"/>
            <w:tcBorders>
              <w:top w:val="single" w:color="auto" w:sz="2" w:space="0"/>
              <w:left w:val="single" w:color="auto" w:sz="2" w:space="0"/>
              <w:bottom w:val="single" w:color="auto" w:sz="2" w:space="0"/>
              <w:right w:val="single" w:color="auto" w:sz="2" w:space="0"/>
            </w:tcBorders>
            <w:vAlign w:val="center"/>
          </w:tcPr>
          <w:p w14:paraId="101A3DD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CE58D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5,033,096.33</w:t>
            </w:r>
          </w:p>
        </w:tc>
      </w:tr>
      <w:tr w14:paraId="5D1BDA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8376FF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中药传统名方产业化项目</w:t>
            </w:r>
          </w:p>
        </w:tc>
        <w:tc>
          <w:tcPr>
            <w:tcW w:w="1377" w:type="dxa"/>
            <w:tcBorders>
              <w:top w:val="single" w:color="auto" w:sz="2" w:space="0"/>
              <w:left w:val="single" w:color="auto" w:sz="2" w:space="0"/>
              <w:bottom w:val="single" w:color="auto" w:sz="2" w:space="0"/>
              <w:right w:val="single" w:color="auto" w:sz="2" w:space="0"/>
            </w:tcBorders>
            <w:vAlign w:val="center"/>
          </w:tcPr>
          <w:p w14:paraId="617870D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99,056.60</w:t>
            </w:r>
          </w:p>
        </w:tc>
        <w:tc>
          <w:tcPr>
            <w:tcW w:w="1377" w:type="dxa"/>
            <w:tcBorders>
              <w:top w:val="single" w:color="auto" w:sz="2" w:space="0"/>
              <w:left w:val="single" w:color="auto" w:sz="2" w:space="0"/>
              <w:bottom w:val="single" w:color="auto" w:sz="2" w:space="0"/>
              <w:right w:val="single" w:color="auto" w:sz="2" w:space="0"/>
            </w:tcBorders>
            <w:vAlign w:val="center"/>
          </w:tcPr>
          <w:p w14:paraId="63EFB9E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668BFB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99,056.60</w:t>
            </w:r>
          </w:p>
        </w:tc>
        <w:tc>
          <w:tcPr>
            <w:tcW w:w="1377" w:type="dxa"/>
            <w:tcBorders>
              <w:top w:val="single" w:color="auto" w:sz="2" w:space="0"/>
              <w:left w:val="single" w:color="auto" w:sz="2" w:space="0"/>
              <w:bottom w:val="single" w:color="auto" w:sz="2" w:space="0"/>
              <w:right w:val="single" w:color="auto" w:sz="2" w:space="0"/>
            </w:tcBorders>
            <w:vAlign w:val="center"/>
          </w:tcPr>
          <w:p w14:paraId="48776675">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022030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AEBB959">
            <w:pPr>
              <w:spacing w:before="0" w:after="0" w:line="240" w:lineRule="exact"/>
              <w:jc w:val="right"/>
              <w:rPr>
                <w:rFonts w:ascii="宋体" w:hAnsi="宋体" w:eastAsia="宋体" w:cs="宋体"/>
                <w:color w:val="auto"/>
                <w:sz w:val="18"/>
                <w:szCs w:val="18"/>
              </w:rPr>
            </w:pPr>
          </w:p>
        </w:tc>
      </w:tr>
      <w:tr w14:paraId="38FB2D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AAA7CD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柘荣国际制剂产业化项目</w:t>
            </w:r>
          </w:p>
        </w:tc>
        <w:tc>
          <w:tcPr>
            <w:tcW w:w="1377" w:type="dxa"/>
            <w:tcBorders>
              <w:top w:val="single" w:color="auto" w:sz="2" w:space="0"/>
              <w:left w:val="single" w:color="auto" w:sz="2" w:space="0"/>
              <w:bottom w:val="single" w:color="auto" w:sz="2" w:space="0"/>
              <w:right w:val="single" w:color="auto" w:sz="2" w:space="0"/>
            </w:tcBorders>
            <w:vAlign w:val="center"/>
          </w:tcPr>
          <w:p w14:paraId="60799DE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EB7A9D">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24757A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8E9EE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753,982.92</w:t>
            </w:r>
          </w:p>
        </w:tc>
        <w:tc>
          <w:tcPr>
            <w:tcW w:w="1377" w:type="dxa"/>
            <w:tcBorders>
              <w:top w:val="single" w:color="auto" w:sz="2" w:space="0"/>
              <w:left w:val="single" w:color="auto" w:sz="2" w:space="0"/>
              <w:bottom w:val="single" w:color="auto" w:sz="2" w:space="0"/>
              <w:right w:val="single" w:color="auto" w:sz="2" w:space="0"/>
            </w:tcBorders>
            <w:vAlign w:val="center"/>
          </w:tcPr>
          <w:p w14:paraId="15FD7B7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72457A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753,982.92</w:t>
            </w:r>
          </w:p>
        </w:tc>
      </w:tr>
      <w:tr w14:paraId="6ABA08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72AB47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固体制剂车间二期工程</w:t>
            </w:r>
          </w:p>
        </w:tc>
        <w:tc>
          <w:tcPr>
            <w:tcW w:w="1377" w:type="dxa"/>
            <w:tcBorders>
              <w:top w:val="single" w:color="auto" w:sz="2" w:space="0"/>
              <w:left w:val="single" w:color="auto" w:sz="2" w:space="0"/>
              <w:bottom w:val="single" w:color="auto" w:sz="2" w:space="0"/>
              <w:right w:val="single" w:color="auto" w:sz="2" w:space="0"/>
            </w:tcBorders>
            <w:vAlign w:val="center"/>
          </w:tcPr>
          <w:p w14:paraId="51CD68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23,297,379.61</w:t>
            </w:r>
          </w:p>
        </w:tc>
        <w:tc>
          <w:tcPr>
            <w:tcW w:w="1377" w:type="dxa"/>
            <w:tcBorders>
              <w:top w:val="single" w:color="auto" w:sz="2" w:space="0"/>
              <w:left w:val="single" w:color="auto" w:sz="2" w:space="0"/>
              <w:bottom w:val="single" w:color="auto" w:sz="2" w:space="0"/>
              <w:right w:val="single" w:color="auto" w:sz="2" w:space="0"/>
            </w:tcBorders>
            <w:vAlign w:val="center"/>
          </w:tcPr>
          <w:p w14:paraId="0A542AF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42DE68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23,297,379.61</w:t>
            </w:r>
          </w:p>
        </w:tc>
        <w:tc>
          <w:tcPr>
            <w:tcW w:w="1377" w:type="dxa"/>
            <w:tcBorders>
              <w:top w:val="single" w:color="auto" w:sz="2" w:space="0"/>
              <w:left w:val="single" w:color="auto" w:sz="2" w:space="0"/>
              <w:bottom w:val="single" w:color="auto" w:sz="2" w:space="0"/>
              <w:right w:val="single" w:color="auto" w:sz="2" w:space="0"/>
            </w:tcBorders>
            <w:vAlign w:val="center"/>
          </w:tcPr>
          <w:p w14:paraId="3E0B62A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23,399,307.00</w:t>
            </w:r>
          </w:p>
        </w:tc>
        <w:tc>
          <w:tcPr>
            <w:tcW w:w="1377" w:type="dxa"/>
            <w:tcBorders>
              <w:top w:val="single" w:color="auto" w:sz="2" w:space="0"/>
              <w:left w:val="single" w:color="auto" w:sz="2" w:space="0"/>
              <w:bottom w:val="single" w:color="auto" w:sz="2" w:space="0"/>
              <w:right w:val="single" w:color="auto" w:sz="2" w:space="0"/>
            </w:tcBorders>
            <w:vAlign w:val="center"/>
          </w:tcPr>
          <w:p w14:paraId="2A36EE9C">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4AC323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23,399,307.00</w:t>
            </w:r>
          </w:p>
        </w:tc>
      </w:tr>
      <w:tr w14:paraId="637F82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0C2D9F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1377" w:type="dxa"/>
            <w:tcBorders>
              <w:top w:val="single" w:color="auto" w:sz="2" w:space="0"/>
              <w:left w:val="single" w:color="auto" w:sz="2" w:space="0"/>
              <w:bottom w:val="single" w:color="auto" w:sz="2" w:space="0"/>
              <w:right w:val="single" w:color="auto" w:sz="2" w:space="0"/>
            </w:tcBorders>
            <w:vAlign w:val="center"/>
          </w:tcPr>
          <w:p w14:paraId="31BEB9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9,433.96</w:t>
            </w:r>
          </w:p>
        </w:tc>
        <w:tc>
          <w:tcPr>
            <w:tcW w:w="1377" w:type="dxa"/>
            <w:tcBorders>
              <w:top w:val="single" w:color="auto" w:sz="2" w:space="0"/>
              <w:left w:val="single" w:color="auto" w:sz="2" w:space="0"/>
              <w:bottom w:val="single" w:color="auto" w:sz="2" w:space="0"/>
              <w:right w:val="single" w:color="auto" w:sz="2" w:space="0"/>
            </w:tcBorders>
            <w:vAlign w:val="center"/>
          </w:tcPr>
          <w:p w14:paraId="14F9AA4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F9EE6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9,433.96</w:t>
            </w:r>
          </w:p>
        </w:tc>
        <w:tc>
          <w:tcPr>
            <w:tcW w:w="1377" w:type="dxa"/>
            <w:tcBorders>
              <w:top w:val="single" w:color="auto" w:sz="2" w:space="0"/>
              <w:left w:val="single" w:color="auto" w:sz="2" w:space="0"/>
              <w:bottom w:val="single" w:color="auto" w:sz="2" w:space="0"/>
              <w:right w:val="single" w:color="auto" w:sz="2" w:space="0"/>
            </w:tcBorders>
            <w:vAlign w:val="center"/>
          </w:tcPr>
          <w:p w14:paraId="371498F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121,460.30</w:t>
            </w:r>
          </w:p>
        </w:tc>
        <w:tc>
          <w:tcPr>
            <w:tcW w:w="1377" w:type="dxa"/>
            <w:tcBorders>
              <w:top w:val="single" w:color="auto" w:sz="2" w:space="0"/>
              <w:left w:val="single" w:color="auto" w:sz="2" w:space="0"/>
              <w:bottom w:val="single" w:color="auto" w:sz="2" w:space="0"/>
              <w:right w:val="single" w:color="auto" w:sz="2" w:space="0"/>
            </w:tcBorders>
            <w:vAlign w:val="center"/>
          </w:tcPr>
          <w:p w14:paraId="45F5DF06">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695785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121,460.30</w:t>
            </w:r>
          </w:p>
        </w:tc>
      </w:tr>
      <w:tr w14:paraId="718A42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D5A16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4AD7BEF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23,405,870.17</w:t>
            </w:r>
          </w:p>
        </w:tc>
        <w:tc>
          <w:tcPr>
            <w:tcW w:w="1377" w:type="dxa"/>
            <w:tcBorders>
              <w:top w:val="single" w:color="auto" w:sz="2" w:space="0"/>
              <w:left w:val="single" w:color="auto" w:sz="2" w:space="0"/>
              <w:bottom w:val="single" w:color="auto" w:sz="2" w:space="0"/>
              <w:right w:val="single" w:color="auto" w:sz="2" w:space="0"/>
            </w:tcBorders>
            <w:vAlign w:val="center"/>
          </w:tcPr>
          <w:p w14:paraId="6AFE28C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D65DD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23,405,870.17</w:t>
            </w:r>
          </w:p>
        </w:tc>
        <w:tc>
          <w:tcPr>
            <w:tcW w:w="1377" w:type="dxa"/>
            <w:tcBorders>
              <w:top w:val="single" w:color="auto" w:sz="2" w:space="0"/>
              <w:left w:val="single" w:color="auto" w:sz="2" w:space="0"/>
              <w:bottom w:val="single" w:color="auto" w:sz="2" w:space="0"/>
              <w:right w:val="single" w:color="auto" w:sz="2" w:space="0"/>
            </w:tcBorders>
            <w:vAlign w:val="center"/>
          </w:tcPr>
          <w:p w14:paraId="66F025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29,763,197.65</w:t>
            </w:r>
          </w:p>
        </w:tc>
        <w:tc>
          <w:tcPr>
            <w:tcW w:w="1377" w:type="dxa"/>
            <w:tcBorders>
              <w:top w:val="single" w:color="auto" w:sz="2" w:space="0"/>
              <w:left w:val="single" w:color="auto" w:sz="2" w:space="0"/>
              <w:bottom w:val="single" w:color="auto" w:sz="2" w:space="0"/>
              <w:right w:val="single" w:color="auto" w:sz="2" w:space="0"/>
            </w:tcBorders>
            <w:vAlign w:val="center"/>
          </w:tcPr>
          <w:p w14:paraId="3C01E855">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F168D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29,763,197.65</w:t>
            </w:r>
          </w:p>
        </w:tc>
      </w:tr>
    </w:tbl>
    <w:p w14:paraId="26A3CF67">
      <w:pPr>
        <w:keepNext/>
        <w:keepLines/>
        <w:spacing w:before="300" w:after="300" w:line="280" w:lineRule="exact"/>
        <w:jc w:val="left"/>
        <w:outlineLvl w:val="3"/>
        <w:rPr>
          <w:rFonts w:ascii="宋体" w:hAnsi="宋体" w:eastAsia="宋体" w:cs="宋体"/>
          <w:b/>
          <w:bCs/>
          <w:color w:val="auto"/>
          <w:sz w:val="21"/>
          <w:szCs w:val="21"/>
        </w:rPr>
      </w:pPr>
      <w:bookmarkStart w:id="176" w:name="_Toc989152"/>
      <w:r>
        <w:rPr>
          <w:rFonts w:ascii="宋体" w:hAnsi="宋体" w:eastAsia="宋体" w:cs="宋体"/>
          <w:b/>
          <w:bCs/>
          <w:color w:val="auto"/>
          <w:sz w:val="21"/>
          <w:szCs w:val="21"/>
        </w:rPr>
        <w:t>（2）重要在建工程项目本期变动情况</w:t>
      </w:r>
      <w:bookmarkEnd w:id="176"/>
    </w:p>
    <w:p w14:paraId="3BC9C07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7ACD27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006B25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项目名称</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785040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预算数</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069F30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6D4825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39E118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本期转入固定资产金额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9258B9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本期其他减少金额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B6BD54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19CD2D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工程累计投入占预算比例</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E586B0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工程进度</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92DDB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利息资本化累计金额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3477B4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其中：本期利息资本化金额</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B8067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本期利息资本化率</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083BBF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资金来源</w:t>
            </w:r>
          </w:p>
        </w:tc>
      </w:tr>
      <w:tr w14:paraId="157FC4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704F9A6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待安装设备</w:t>
            </w:r>
          </w:p>
        </w:tc>
        <w:tc>
          <w:tcPr>
            <w:tcW w:w="741" w:type="dxa"/>
            <w:tcBorders>
              <w:top w:val="single" w:color="auto" w:sz="2" w:space="0"/>
              <w:left w:val="single" w:color="auto" w:sz="2" w:space="0"/>
              <w:bottom w:val="single" w:color="auto" w:sz="2" w:space="0"/>
              <w:right w:val="single" w:color="auto" w:sz="2" w:space="0"/>
            </w:tcBorders>
            <w:vAlign w:val="center"/>
          </w:tcPr>
          <w:p w14:paraId="2A4A48CF">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64B5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5,033,096.33</w:t>
            </w:r>
          </w:p>
        </w:tc>
        <w:tc>
          <w:tcPr>
            <w:tcW w:w="741" w:type="dxa"/>
            <w:tcBorders>
              <w:top w:val="single" w:color="auto" w:sz="2" w:space="0"/>
              <w:left w:val="single" w:color="auto" w:sz="2" w:space="0"/>
              <w:bottom w:val="single" w:color="auto" w:sz="2" w:space="0"/>
              <w:right w:val="single" w:color="auto" w:sz="2" w:space="0"/>
            </w:tcBorders>
            <w:vAlign w:val="center"/>
          </w:tcPr>
          <w:p w14:paraId="5E5EB39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102,565.37</w:t>
            </w:r>
          </w:p>
        </w:tc>
        <w:tc>
          <w:tcPr>
            <w:tcW w:w="741" w:type="dxa"/>
            <w:tcBorders>
              <w:top w:val="single" w:color="auto" w:sz="2" w:space="0"/>
              <w:left w:val="single" w:color="auto" w:sz="2" w:space="0"/>
              <w:bottom w:val="single" w:color="auto" w:sz="2" w:space="0"/>
              <w:right w:val="single" w:color="auto" w:sz="2" w:space="0"/>
            </w:tcBorders>
            <w:vAlign w:val="center"/>
          </w:tcPr>
          <w:p w14:paraId="08E3B8D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5,056,910.70</w:t>
            </w:r>
          </w:p>
        </w:tc>
        <w:tc>
          <w:tcPr>
            <w:tcW w:w="741" w:type="dxa"/>
            <w:tcBorders>
              <w:top w:val="single" w:color="auto" w:sz="2" w:space="0"/>
              <w:left w:val="single" w:color="auto" w:sz="2" w:space="0"/>
              <w:bottom w:val="single" w:color="auto" w:sz="2" w:space="0"/>
              <w:right w:val="single" w:color="auto" w:sz="2" w:space="0"/>
            </w:tcBorders>
            <w:vAlign w:val="center"/>
          </w:tcPr>
          <w:p w14:paraId="5288E8D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78,751.00</w:t>
            </w:r>
          </w:p>
        </w:tc>
        <w:tc>
          <w:tcPr>
            <w:tcW w:w="741" w:type="dxa"/>
            <w:tcBorders>
              <w:top w:val="single" w:color="auto" w:sz="2" w:space="0"/>
              <w:left w:val="single" w:color="auto" w:sz="2" w:space="0"/>
              <w:bottom w:val="single" w:color="auto" w:sz="2" w:space="0"/>
              <w:right w:val="single" w:color="auto" w:sz="2" w:space="0"/>
            </w:tcBorders>
            <w:vAlign w:val="center"/>
          </w:tcPr>
          <w:p w14:paraId="5EAC367B">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9E09E6">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E861BF">
            <w:pPr>
              <w:spacing w:before="0" w:after="0" w:line="240" w:lineRule="exact"/>
              <w:jc w:val="lef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DF1F287">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14AA47F">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D2D46A1">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EDECFA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r>
      <w:tr w14:paraId="515085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03C650B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柘荣国际制剂产业化项目</w:t>
            </w:r>
          </w:p>
        </w:tc>
        <w:tc>
          <w:tcPr>
            <w:tcW w:w="741" w:type="dxa"/>
            <w:tcBorders>
              <w:top w:val="single" w:color="auto" w:sz="2" w:space="0"/>
              <w:left w:val="single" w:color="auto" w:sz="2" w:space="0"/>
              <w:bottom w:val="single" w:color="auto" w:sz="2" w:space="0"/>
              <w:right w:val="single" w:color="auto" w:sz="2" w:space="0"/>
            </w:tcBorders>
            <w:vAlign w:val="center"/>
          </w:tcPr>
          <w:p w14:paraId="118158EF">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5CA7E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753,982.92</w:t>
            </w:r>
          </w:p>
        </w:tc>
        <w:tc>
          <w:tcPr>
            <w:tcW w:w="741" w:type="dxa"/>
            <w:tcBorders>
              <w:top w:val="single" w:color="auto" w:sz="2" w:space="0"/>
              <w:left w:val="single" w:color="auto" w:sz="2" w:space="0"/>
              <w:bottom w:val="single" w:color="auto" w:sz="2" w:space="0"/>
              <w:right w:val="single" w:color="auto" w:sz="2" w:space="0"/>
            </w:tcBorders>
            <w:vAlign w:val="center"/>
          </w:tcPr>
          <w:p w14:paraId="53231B19">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8A4D5C">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A2E89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753,982.92</w:t>
            </w:r>
          </w:p>
        </w:tc>
        <w:tc>
          <w:tcPr>
            <w:tcW w:w="741" w:type="dxa"/>
            <w:tcBorders>
              <w:top w:val="single" w:color="auto" w:sz="2" w:space="0"/>
              <w:left w:val="single" w:color="auto" w:sz="2" w:space="0"/>
              <w:bottom w:val="single" w:color="auto" w:sz="2" w:space="0"/>
              <w:right w:val="single" w:color="auto" w:sz="2" w:space="0"/>
            </w:tcBorders>
            <w:vAlign w:val="center"/>
          </w:tcPr>
          <w:p w14:paraId="2EA429E6">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0B888BD">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2F2E22E">
            <w:pPr>
              <w:spacing w:before="0" w:after="0" w:line="240" w:lineRule="exact"/>
              <w:jc w:val="lef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1BA190">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8C69F67">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6A18BAC">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627F90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r>
      <w:tr w14:paraId="2F91D7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6F8D0E4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固体制剂车间二期工程</w:t>
            </w:r>
          </w:p>
        </w:tc>
        <w:tc>
          <w:tcPr>
            <w:tcW w:w="741" w:type="dxa"/>
            <w:tcBorders>
              <w:top w:val="single" w:color="auto" w:sz="2" w:space="0"/>
              <w:left w:val="single" w:color="auto" w:sz="2" w:space="0"/>
              <w:bottom w:val="single" w:color="auto" w:sz="2" w:space="0"/>
              <w:right w:val="single" w:color="auto" w:sz="2" w:space="0"/>
            </w:tcBorders>
            <w:vAlign w:val="center"/>
          </w:tcPr>
          <w:p w14:paraId="2CE0BAC2">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FB569C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23,399,307.00</w:t>
            </w:r>
          </w:p>
        </w:tc>
        <w:tc>
          <w:tcPr>
            <w:tcW w:w="741" w:type="dxa"/>
            <w:tcBorders>
              <w:top w:val="single" w:color="auto" w:sz="2" w:space="0"/>
              <w:left w:val="single" w:color="auto" w:sz="2" w:space="0"/>
              <w:bottom w:val="single" w:color="auto" w:sz="2" w:space="0"/>
              <w:right w:val="single" w:color="auto" w:sz="2" w:space="0"/>
            </w:tcBorders>
            <w:vAlign w:val="center"/>
          </w:tcPr>
          <w:p w14:paraId="5AA9B59E">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B8F5E2">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89547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101,927.39</w:t>
            </w:r>
          </w:p>
        </w:tc>
        <w:tc>
          <w:tcPr>
            <w:tcW w:w="741" w:type="dxa"/>
            <w:tcBorders>
              <w:top w:val="single" w:color="auto" w:sz="2" w:space="0"/>
              <w:left w:val="single" w:color="auto" w:sz="2" w:space="0"/>
              <w:bottom w:val="single" w:color="auto" w:sz="2" w:space="0"/>
              <w:right w:val="single" w:color="auto" w:sz="2" w:space="0"/>
            </w:tcBorders>
            <w:vAlign w:val="center"/>
          </w:tcPr>
          <w:p w14:paraId="61F55E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23,297,379.61</w:t>
            </w:r>
          </w:p>
        </w:tc>
        <w:tc>
          <w:tcPr>
            <w:tcW w:w="741" w:type="dxa"/>
            <w:tcBorders>
              <w:top w:val="single" w:color="auto" w:sz="2" w:space="0"/>
              <w:left w:val="single" w:color="auto" w:sz="2" w:space="0"/>
              <w:bottom w:val="single" w:color="auto" w:sz="2" w:space="0"/>
              <w:right w:val="single" w:color="auto" w:sz="2" w:space="0"/>
            </w:tcBorders>
            <w:vAlign w:val="center"/>
          </w:tcPr>
          <w:p w14:paraId="1F3C98F6">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A31FAF">
            <w:pPr>
              <w:spacing w:before="0" w:after="0" w:line="240" w:lineRule="exact"/>
              <w:jc w:val="lef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EB0C2D1">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DC55C1F">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48D404">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2CF4CB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r>
      <w:tr w14:paraId="0FDB35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1A0071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金塘雨水强排池</w:t>
            </w:r>
          </w:p>
        </w:tc>
        <w:tc>
          <w:tcPr>
            <w:tcW w:w="741" w:type="dxa"/>
            <w:tcBorders>
              <w:top w:val="single" w:color="auto" w:sz="2" w:space="0"/>
              <w:left w:val="single" w:color="auto" w:sz="2" w:space="0"/>
              <w:bottom w:val="single" w:color="auto" w:sz="2" w:space="0"/>
              <w:right w:val="single" w:color="auto" w:sz="2" w:space="0"/>
            </w:tcBorders>
            <w:vAlign w:val="center"/>
          </w:tcPr>
          <w:p w14:paraId="465FB26C">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2A4DB3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455,351.10</w:t>
            </w:r>
          </w:p>
        </w:tc>
        <w:tc>
          <w:tcPr>
            <w:tcW w:w="741" w:type="dxa"/>
            <w:tcBorders>
              <w:top w:val="single" w:color="auto" w:sz="2" w:space="0"/>
              <w:left w:val="single" w:color="auto" w:sz="2" w:space="0"/>
              <w:bottom w:val="single" w:color="auto" w:sz="2" w:space="0"/>
              <w:right w:val="single" w:color="auto" w:sz="2" w:space="0"/>
            </w:tcBorders>
            <w:vAlign w:val="center"/>
          </w:tcPr>
          <w:p w14:paraId="1C77A5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334,922.11</w:t>
            </w:r>
          </w:p>
        </w:tc>
        <w:tc>
          <w:tcPr>
            <w:tcW w:w="741" w:type="dxa"/>
            <w:tcBorders>
              <w:top w:val="single" w:color="auto" w:sz="2" w:space="0"/>
              <w:left w:val="single" w:color="auto" w:sz="2" w:space="0"/>
              <w:bottom w:val="single" w:color="auto" w:sz="2" w:space="0"/>
              <w:right w:val="single" w:color="auto" w:sz="2" w:space="0"/>
            </w:tcBorders>
            <w:vAlign w:val="center"/>
          </w:tcPr>
          <w:p w14:paraId="379C17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790,273.21</w:t>
            </w:r>
          </w:p>
        </w:tc>
        <w:tc>
          <w:tcPr>
            <w:tcW w:w="741" w:type="dxa"/>
            <w:tcBorders>
              <w:top w:val="single" w:color="auto" w:sz="2" w:space="0"/>
              <w:left w:val="single" w:color="auto" w:sz="2" w:space="0"/>
              <w:bottom w:val="single" w:color="auto" w:sz="2" w:space="0"/>
              <w:right w:val="single" w:color="auto" w:sz="2" w:space="0"/>
            </w:tcBorders>
            <w:vAlign w:val="center"/>
          </w:tcPr>
          <w:p w14:paraId="4053ECE6">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F6EBDE5">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C8834C6">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720E3B7">
            <w:pPr>
              <w:spacing w:before="0" w:after="0" w:line="240" w:lineRule="exact"/>
              <w:jc w:val="lef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E20EB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63D9BD1">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4C32A3E">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1B70C7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r>
      <w:tr w14:paraId="4C9F4E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78C1F34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741" w:type="dxa"/>
            <w:tcBorders>
              <w:top w:val="single" w:color="auto" w:sz="2" w:space="0"/>
              <w:left w:val="single" w:color="auto" w:sz="2" w:space="0"/>
              <w:bottom w:val="single" w:color="auto" w:sz="2" w:space="0"/>
              <w:right w:val="single" w:color="auto" w:sz="2" w:space="0"/>
            </w:tcBorders>
            <w:vAlign w:val="center"/>
          </w:tcPr>
          <w:p w14:paraId="7EA9B9AF">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63EB3A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121,460.30</w:t>
            </w:r>
          </w:p>
        </w:tc>
        <w:tc>
          <w:tcPr>
            <w:tcW w:w="741" w:type="dxa"/>
            <w:tcBorders>
              <w:top w:val="single" w:color="auto" w:sz="2" w:space="0"/>
              <w:left w:val="single" w:color="auto" w:sz="2" w:space="0"/>
              <w:bottom w:val="single" w:color="auto" w:sz="2" w:space="0"/>
              <w:right w:val="single" w:color="auto" w:sz="2" w:space="0"/>
            </w:tcBorders>
            <w:vAlign w:val="center"/>
          </w:tcPr>
          <w:p w14:paraId="0D0B9F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192,660.55</w:t>
            </w:r>
          </w:p>
        </w:tc>
        <w:tc>
          <w:tcPr>
            <w:tcW w:w="741" w:type="dxa"/>
            <w:tcBorders>
              <w:top w:val="single" w:color="auto" w:sz="2" w:space="0"/>
              <w:left w:val="single" w:color="auto" w:sz="2" w:space="0"/>
              <w:bottom w:val="single" w:color="auto" w:sz="2" w:space="0"/>
              <w:right w:val="single" w:color="auto" w:sz="2" w:space="0"/>
            </w:tcBorders>
            <w:vAlign w:val="center"/>
          </w:tcPr>
          <w:p w14:paraId="658E971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304,686.89</w:t>
            </w:r>
          </w:p>
        </w:tc>
        <w:tc>
          <w:tcPr>
            <w:tcW w:w="741" w:type="dxa"/>
            <w:tcBorders>
              <w:top w:val="single" w:color="auto" w:sz="2" w:space="0"/>
              <w:left w:val="single" w:color="auto" w:sz="2" w:space="0"/>
              <w:bottom w:val="single" w:color="auto" w:sz="2" w:space="0"/>
              <w:right w:val="single" w:color="auto" w:sz="2" w:space="0"/>
            </w:tcBorders>
            <w:vAlign w:val="center"/>
          </w:tcPr>
          <w:p w14:paraId="1493CC34">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B339D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9,433.96</w:t>
            </w:r>
          </w:p>
        </w:tc>
        <w:tc>
          <w:tcPr>
            <w:tcW w:w="741" w:type="dxa"/>
            <w:tcBorders>
              <w:top w:val="single" w:color="auto" w:sz="2" w:space="0"/>
              <w:left w:val="single" w:color="auto" w:sz="2" w:space="0"/>
              <w:bottom w:val="single" w:color="auto" w:sz="2" w:space="0"/>
              <w:right w:val="single" w:color="auto" w:sz="2" w:space="0"/>
            </w:tcBorders>
            <w:vAlign w:val="center"/>
          </w:tcPr>
          <w:p w14:paraId="56F9FA2D">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E78C4D1">
            <w:pPr>
              <w:spacing w:before="0" w:after="0" w:line="240" w:lineRule="exact"/>
              <w:jc w:val="lef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F527A2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72F5F26">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E761643">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B3C2C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r>
      <w:tr w14:paraId="03A32C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9F594B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741" w:type="dxa"/>
            <w:tcBorders>
              <w:top w:val="single" w:color="auto" w:sz="2" w:space="0"/>
              <w:left w:val="single" w:color="auto" w:sz="2" w:space="0"/>
              <w:bottom w:val="single" w:color="auto" w:sz="2" w:space="0"/>
              <w:right w:val="single" w:color="auto" w:sz="2" w:space="0"/>
            </w:tcBorders>
            <w:vAlign w:val="center"/>
          </w:tcPr>
          <w:p w14:paraId="7FAC60AB">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EEAAF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29,763,197.65</w:t>
            </w:r>
          </w:p>
        </w:tc>
        <w:tc>
          <w:tcPr>
            <w:tcW w:w="741" w:type="dxa"/>
            <w:tcBorders>
              <w:top w:val="single" w:color="auto" w:sz="2" w:space="0"/>
              <w:left w:val="single" w:color="auto" w:sz="2" w:space="0"/>
              <w:bottom w:val="single" w:color="auto" w:sz="2" w:space="0"/>
              <w:right w:val="single" w:color="auto" w:sz="2" w:space="0"/>
            </w:tcBorders>
            <w:vAlign w:val="center"/>
          </w:tcPr>
          <w:p w14:paraId="39BA95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630,148.03</w:t>
            </w:r>
          </w:p>
        </w:tc>
        <w:tc>
          <w:tcPr>
            <w:tcW w:w="741" w:type="dxa"/>
            <w:tcBorders>
              <w:top w:val="single" w:color="auto" w:sz="2" w:space="0"/>
              <w:left w:val="single" w:color="auto" w:sz="2" w:space="0"/>
              <w:bottom w:val="single" w:color="auto" w:sz="2" w:space="0"/>
              <w:right w:val="single" w:color="auto" w:sz="2" w:space="0"/>
            </w:tcBorders>
            <w:vAlign w:val="center"/>
          </w:tcPr>
          <w:p w14:paraId="75B1E89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6,151,870.80</w:t>
            </w:r>
          </w:p>
        </w:tc>
        <w:tc>
          <w:tcPr>
            <w:tcW w:w="741" w:type="dxa"/>
            <w:tcBorders>
              <w:top w:val="single" w:color="auto" w:sz="2" w:space="0"/>
              <w:left w:val="single" w:color="auto" w:sz="2" w:space="0"/>
              <w:bottom w:val="single" w:color="auto" w:sz="2" w:space="0"/>
              <w:right w:val="single" w:color="auto" w:sz="2" w:space="0"/>
            </w:tcBorders>
            <w:vAlign w:val="center"/>
          </w:tcPr>
          <w:p w14:paraId="0CC488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934,661.31</w:t>
            </w:r>
          </w:p>
        </w:tc>
        <w:tc>
          <w:tcPr>
            <w:tcW w:w="741" w:type="dxa"/>
            <w:tcBorders>
              <w:top w:val="single" w:color="auto" w:sz="2" w:space="0"/>
              <w:left w:val="single" w:color="auto" w:sz="2" w:space="0"/>
              <w:bottom w:val="single" w:color="auto" w:sz="2" w:space="0"/>
              <w:right w:val="single" w:color="auto" w:sz="2" w:space="0"/>
            </w:tcBorders>
            <w:vAlign w:val="center"/>
          </w:tcPr>
          <w:p w14:paraId="6F4E2FF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23,306,813.57</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34721B3">
            <w:pPr>
              <w:rPr>
                <w:color w:val="auto"/>
              </w:rPr>
            </w:pP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C016696">
            <w:pPr>
              <w:rPr>
                <w:color w:val="auto"/>
              </w:rPr>
            </w:pPr>
          </w:p>
        </w:tc>
        <w:tc>
          <w:tcPr>
            <w:tcW w:w="741" w:type="dxa"/>
            <w:tcBorders>
              <w:top w:val="single" w:color="auto" w:sz="2" w:space="0"/>
              <w:left w:val="single" w:color="auto" w:sz="2" w:space="0"/>
              <w:bottom w:val="single" w:color="auto" w:sz="2" w:space="0"/>
              <w:right w:val="single" w:color="auto" w:sz="2" w:space="0"/>
            </w:tcBorders>
            <w:vAlign w:val="center"/>
          </w:tcPr>
          <w:p w14:paraId="60D51FDB">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B47F5FC">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5F4B3CC">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CE4C240">
            <w:pPr>
              <w:rPr>
                <w:color w:val="auto"/>
              </w:rPr>
            </w:pPr>
          </w:p>
        </w:tc>
      </w:tr>
    </w:tbl>
    <w:p w14:paraId="33B1A0B2">
      <w:pPr>
        <w:keepNext/>
        <w:keepLines/>
        <w:spacing w:before="300" w:after="300" w:line="280" w:lineRule="exact"/>
        <w:jc w:val="left"/>
        <w:outlineLvl w:val="3"/>
        <w:rPr>
          <w:rFonts w:ascii="宋体" w:hAnsi="宋体" w:eastAsia="宋体" w:cs="宋体"/>
          <w:b/>
          <w:bCs/>
          <w:color w:val="auto"/>
          <w:sz w:val="21"/>
          <w:szCs w:val="21"/>
        </w:rPr>
      </w:pPr>
      <w:bookmarkStart w:id="177" w:name="_Toc989153"/>
      <w:r>
        <w:rPr>
          <w:rFonts w:ascii="宋体" w:hAnsi="宋体" w:eastAsia="宋体" w:cs="宋体"/>
          <w:b/>
          <w:bCs/>
          <w:color w:val="auto"/>
          <w:sz w:val="21"/>
          <w:szCs w:val="21"/>
        </w:rPr>
        <w:t>（3）本期计提在建工程减值准备情况</w:t>
      </w:r>
      <w:bookmarkEnd w:id="177"/>
    </w:p>
    <w:p w14:paraId="6E53B1D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145A1A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E1EEE7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6FB904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A37BC1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BB9DB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A8C2C6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0F5622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计提原因</w:t>
            </w:r>
          </w:p>
        </w:tc>
      </w:tr>
    </w:tbl>
    <w:p w14:paraId="37057AC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1DCF538">
      <w:pPr>
        <w:keepNext/>
        <w:keepLines/>
        <w:spacing w:before="300" w:after="300" w:line="280" w:lineRule="exact"/>
        <w:jc w:val="left"/>
        <w:outlineLvl w:val="3"/>
        <w:rPr>
          <w:rFonts w:ascii="宋体" w:hAnsi="宋体" w:eastAsia="宋体" w:cs="宋体"/>
          <w:b/>
          <w:bCs/>
          <w:color w:val="auto"/>
          <w:sz w:val="21"/>
          <w:szCs w:val="21"/>
        </w:rPr>
      </w:pPr>
      <w:bookmarkStart w:id="178" w:name="_Toc989154"/>
      <w:r>
        <w:rPr>
          <w:rFonts w:ascii="宋体" w:hAnsi="宋体" w:eastAsia="宋体" w:cs="宋体"/>
          <w:b/>
          <w:bCs/>
          <w:color w:val="auto"/>
          <w:sz w:val="21"/>
          <w:szCs w:val="21"/>
        </w:rPr>
        <w:t>（4）在建工程的减值测试情况</w:t>
      </w:r>
      <w:bookmarkEnd w:id="178"/>
    </w:p>
    <w:p w14:paraId="7212206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614B7CE4">
      <w:pPr>
        <w:keepNext/>
        <w:keepLines/>
        <w:spacing w:before="300" w:after="300" w:line="280" w:lineRule="exact"/>
        <w:jc w:val="left"/>
        <w:outlineLvl w:val="3"/>
        <w:rPr>
          <w:rFonts w:ascii="宋体" w:hAnsi="宋体" w:eastAsia="宋体" w:cs="宋体"/>
          <w:b/>
          <w:bCs/>
          <w:color w:val="auto"/>
          <w:sz w:val="21"/>
          <w:szCs w:val="21"/>
        </w:rPr>
      </w:pPr>
      <w:bookmarkStart w:id="179" w:name="_Toc989155"/>
      <w:r>
        <w:rPr>
          <w:rFonts w:ascii="宋体" w:hAnsi="宋体" w:eastAsia="宋体" w:cs="宋体"/>
          <w:b/>
          <w:bCs/>
          <w:color w:val="auto"/>
          <w:sz w:val="21"/>
          <w:szCs w:val="21"/>
        </w:rPr>
        <w:t>（5）工程物资</w:t>
      </w:r>
      <w:bookmarkEnd w:id="179"/>
    </w:p>
    <w:p w14:paraId="7D42D5B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EDD25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C128C5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54AA1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AD7574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5B084C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C055276">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F03C03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D635E2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F3FFA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D345B1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D72B9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54A8BE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bl>
    <w:p w14:paraId="09B62C3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63837B1">
      <w:pPr>
        <w:keepNext/>
        <w:keepLines/>
        <w:spacing w:before="300" w:after="300" w:line="280" w:lineRule="exact"/>
        <w:jc w:val="left"/>
        <w:outlineLvl w:val="2"/>
        <w:rPr>
          <w:rFonts w:ascii="宋体" w:hAnsi="宋体" w:eastAsia="宋体" w:cs="宋体"/>
          <w:b/>
          <w:bCs/>
          <w:color w:val="auto"/>
          <w:sz w:val="21"/>
          <w:szCs w:val="21"/>
        </w:rPr>
      </w:pPr>
      <w:bookmarkStart w:id="180" w:name="_Toc989156"/>
      <w:r>
        <w:rPr>
          <w:rFonts w:ascii="宋体" w:hAnsi="宋体" w:eastAsia="宋体" w:cs="宋体"/>
          <w:b/>
          <w:bCs/>
          <w:color w:val="auto"/>
          <w:sz w:val="21"/>
          <w:szCs w:val="21"/>
        </w:rPr>
        <w:t>23、生产性生物资产</w:t>
      </w:r>
      <w:bookmarkEnd w:id="180"/>
    </w:p>
    <w:p w14:paraId="2EA95413">
      <w:pPr>
        <w:keepNext/>
        <w:keepLines/>
        <w:spacing w:before="300" w:after="300" w:line="280" w:lineRule="exact"/>
        <w:jc w:val="left"/>
        <w:outlineLvl w:val="3"/>
        <w:rPr>
          <w:rFonts w:ascii="宋体" w:hAnsi="宋体" w:eastAsia="宋体" w:cs="宋体"/>
          <w:b/>
          <w:bCs/>
          <w:color w:val="auto"/>
          <w:sz w:val="21"/>
          <w:szCs w:val="21"/>
        </w:rPr>
      </w:pPr>
      <w:bookmarkStart w:id="181" w:name="_Toc989157"/>
      <w:r>
        <w:rPr>
          <w:rFonts w:ascii="宋体" w:hAnsi="宋体" w:eastAsia="宋体" w:cs="宋体"/>
          <w:b/>
          <w:bCs/>
          <w:color w:val="auto"/>
          <w:sz w:val="21"/>
          <w:szCs w:val="21"/>
        </w:rPr>
        <w:t>（1）采用成本计量模式的生产性生物资产</w:t>
      </w:r>
      <w:bookmarkEnd w:id="181"/>
    </w:p>
    <w:p w14:paraId="7333718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7111D8ED">
      <w:pPr>
        <w:keepNext/>
        <w:keepLines/>
        <w:spacing w:before="300" w:after="300" w:line="280" w:lineRule="exact"/>
        <w:jc w:val="left"/>
        <w:outlineLvl w:val="3"/>
        <w:rPr>
          <w:rFonts w:ascii="宋体" w:hAnsi="宋体" w:eastAsia="宋体" w:cs="宋体"/>
          <w:b/>
          <w:bCs/>
          <w:color w:val="auto"/>
          <w:sz w:val="21"/>
          <w:szCs w:val="21"/>
        </w:rPr>
      </w:pPr>
      <w:bookmarkStart w:id="182" w:name="_Toc989158"/>
      <w:r>
        <w:rPr>
          <w:rFonts w:ascii="宋体" w:hAnsi="宋体" w:eastAsia="宋体" w:cs="宋体"/>
          <w:b/>
          <w:bCs/>
          <w:color w:val="auto"/>
          <w:sz w:val="21"/>
          <w:szCs w:val="21"/>
        </w:rPr>
        <w:t>（2）采用成本计量模式的生产性生物资产的减值测试情况</w:t>
      </w:r>
      <w:bookmarkEnd w:id="182"/>
    </w:p>
    <w:p w14:paraId="1A8D25F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76467AB5">
      <w:pPr>
        <w:keepNext/>
        <w:keepLines/>
        <w:spacing w:before="300" w:after="300" w:line="280" w:lineRule="exact"/>
        <w:jc w:val="left"/>
        <w:outlineLvl w:val="3"/>
        <w:rPr>
          <w:rFonts w:ascii="宋体" w:hAnsi="宋体" w:eastAsia="宋体" w:cs="宋体"/>
          <w:b/>
          <w:bCs/>
          <w:color w:val="auto"/>
          <w:sz w:val="21"/>
          <w:szCs w:val="21"/>
        </w:rPr>
      </w:pPr>
      <w:bookmarkStart w:id="183" w:name="_Toc989159"/>
      <w:r>
        <w:rPr>
          <w:rFonts w:ascii="宋体" w:hAnsi="宋体" w:eastAsia="宋体" w:cs="宋体"/>
          <w:b/>
          <w:bCs/>
          <w:color w:val="auto"/>
          <w:sz w:val="21"/>
          <w:szCs w:val="21"/>
        </w:rPr>
        <w:t>（3）采用公允价值计量模式的生产性生物资产</w:t>
      </w:r>
      <w:bookmarkEnd w:id="183"/>
    </w:p>
    <w:p w14:paraId="5BD9A76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3D2CA6DF">
      <w:pPr>
        <w:keepNext/>
        <w:keepLines/>
        <w:spacing w:before="300" w:after="300" w:line="280" w:lineRule="exact"/>
        <w:jc w:val="left"/>
        <w:outlineLvl w:val="2"/>
        <w:rPr>
          <w:rFonts w:ascii="宋体" w:hAnsi="宋体" w:eastAsia="宋体" w:cs="宋体"/>
          <w:b/>
          <w:bCs/>
          <w:color w:val="auto"/>
          <w:sz w:val="21"/>
          <w:szCs w:val="21"/>
        </w:rPr>
      </w:pPr>
      <w:bookmarkStart w:id="184" w:name="_Toc989160"/>
      <w:r>
        <w:rPr>
          <w:rFonts w:ascii="宋体" w:hAnsi="宋体" w:eastAsia="宋体" w:cs="宋体"/>
          <w:b/>
          <w:bCs/>
          <w:color w:val="auto"/>
          <w:sz w:val="21"/>
          <w:szCs w:val="21"/>
        </w:rPr>
        <w:t>24、油气资产</w:t>
      </w:r>
      <w:bookmarkEnd w:id="184"/>
    </w:p>
    <w:p w14:paraId="6C4D354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1A3EA78E">
      <w:pPr>
        <w:keepNext/>
        <w:keepLines/>
        <w:spacing w:before="300" w:after="300" w:line="280" w:lineRule="exact"/>
        <w:jc w:val="left"/>
        <w:outlineLvl w:val="2"/>
        <w:rPr>
          <w:rFonts w:ascii="宋体" w:hAnsi="宋体" w:eastAsia="宋体" w:cs="宋体"/>
          <w:b/>
          <w:bCs/>
          <w:color w:val="auto"/>
          <w:sz w:val="21"/>
          <w:szCs w:val="21"/>
        </w:rPr>
      </w:pPr>
      <w:bookmarkStart w:id="185" w:name="_Toc989161"/>
      <w:r>
        <w:rPr>
          <w:rFonts w:ascii="宋体" w:hAnsi="宋体" w:eastAsia="宋体" w:cs="宋体"/>
          <w:b/>
          <w:bCs/>
          <w:color w:val="auto"/>
          <w:sz w:val="21"/>
          <w:szCs w:val="21"/>
        </w:rPr>
        <w:t>25、使用权资产</w:t>
      </w:r>
      <w:bookmarkEnd w:id="185"/>
    </w:p>
    <w:p w14:paraId="16E021C3">
      <w:pPr>
        <w:keepNext/>
        <w:keepLines/>
        <w:spacing w:before="300" w:after="300" w:line="280" w:lineRule="exact"/>
        <w:jc w:val="left"/>
        <w:outlineLvl w:val="3"/>
        <w:rPr>
          <w:rFonts w:ascii="宋体" w:hAnsi="宋体" w:eastAsia="宋体" w:cs="宋体"/>
          <w:b/>
          <w:bCs/>
          <w:color w:val="auto"/>
          <w:sz w:val="21"/>
          <w:szCs w:val="21"/>
        </w:rPr>
      </w:pPr>
      <w:bookmarkStart w:id="186" w:name="_Toc989162"/>
      <w:r>
        <w:rPr>
          <w:rFonts w:ascii="宋体" w:hAnsi="宋体" w:eastAsia="宋体" w:cs="宋体"/>
          <w:b/>
          <w:bCs/>
          <w:color w:val="auto"/>
          <w:sz w:val="21"/>
          <w:szCs w:val="21"/>
        </w:rPr>
        <w:t>（1）使用权资产情况</w:t>
      </w:r>
      <w:bookmarkEnd w:id="186"/>
    </w:p>
    <w:p w14:paraId="49D550C1">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391CB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DBA680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2410" w:type="dxa"/>
            <w:tcBorders>
              <w:top w:val="single" w:color="auto" w:sz="2" w:space="0"/>
              <w:left w:val="single" w:color="auto" w:sz="2" w:space="0"/>
              <w:bottom w:val="single" w:color="auto" w:sz="2" w:space="0"/>
              <w:right w:val="single" w:color="auto" w:sz="2" w:space="0"/>
            </w:tcBorders>
            <w:vAlign w:val="center"/>
          </w:tcPr>
          <w:p w14:paraId="6D053692">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房屋及建筑物</w:t>
            </w:r>
          </w:p>
        </w:tc>
        <w:tc>
          <w:tcPr>
            <w:tcW w:w="2410" w:type="dxa"/>
            <w:tcBorders>
              <w:top w:val="single" w:color="auto" w:sz="2" w:space="0"/>
              <w:left w:val="single" w:color="auto" w:sz="2" w:space="0"/>
              <w:bottom w:val="single" w:color="auto" w:sz="2" w:space="0"/>
              <w:right w:val="single" w:color="auto" w:sz="2" w:space="0"/>
            </w:tcBorders>
            <w:vAlign w:val="center"/>
          </w:tcPr>
          <w:p w14:paraId="6A746E97">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运输工具</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DDCD45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5CEA7B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F5634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一、账面原值</w:t>
            </w:r>
          </w:p>
        </w:tc>
        <w:tc>
          <w:tcPr>
            <w:tcW w:w="2410" w:type="dxa"/>
            <w:tcBorders>
              <w:top w:val="single" w:color="auto" w:sz="2" w:space="0"/>
              <w:left w:val="single" w:color="auto" w:sz="2" w:space="0"/>
              <w:bottom w:val="single" w:color="auto" w:sz="2" w:space="0"/>
              <w:right w:val="single" w:color="auto" w:sz="2" w:space="0"/>
            </w:tcBorders>
            <w:vAlign w:val="center"/>
          </w:tcPr>
          <w:p w14:paraId="4A5DA09C">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202CCD2">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C012BCF">
            <w:pPr>
              <w:spacing w:before="0" w:after="0" w:line="240" w:lineRule="exact"/>
              <w:jc w:val="right"/>
              <w:rPr>
                <w:rFonts w:ascii="宋体" w:hAnsi="宋体" w:eastAsia="宋体" w:cs="宋体"/>
                <w:color w:val="auto"/>
                <w:sz w:val="18"/>
                <w:szCs w:val="18"/>
              </w:rPr>
            </w:pPr>
          </w:p>
        </w:tc>
      </w:tr>
      <w:tr w14:paraId="5C3D82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8689C22">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1.期初余额</w:t>
            </w:r>
          </w:p>
        </w:tc>
        <w:tc>
          <w:tcPr>
            <w:tcW w:w="2410" w:type="dxa"/>
            <w:tcBorders>
              <w:top w:val="single" w:color="auto" w:sz="2" w:space="0"/>
              <w:left w:val="single" w:color="auto" w:sz="2" w:space="0"/>
              <w:bottom w:val="single" w:color="auto" w:sz="2" w:space="0"/>
              <w:right w:val="single" w:color="auto" w:sz="2" w:space="0"/>
            </w:tcBorders>
            <w:vAlign w:val="center"/>
          </w:tcPr>
          <w:p w14:paraId="4BA48A3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374,747.31</w:t>
            </w:r>
          </w:p>
        </w:tc>
        <w:tc>
          <w:tcPr>
            <w:tcW w:w="2410" w:type="dxa"/>
            <w:tcBorders>
              <w:top w:val="single" w:color="auto" w:sz="2" w:space="0"/>
              <w:left w:val="single" w:color="auto" w:sz="2" w:space="0"/>
              <w:bottom w:val="single" w:color="auto" w:sz="2" w:space="0"/>
              <w:right w:val="single" w:color="auto" w:sz="2" w:space="0"/>
            </w:tcBorders>
            <w:vAlign w:val="center"/>
          </w:tcPr>
          <w:p w14:paraId="555B13B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416,991.15</w:t>
            </w:r>
          </w:p>
        </w:tc>
        <w:tc>
          <w:tcPr>
            <w:tcW w:w="2410" w:type="dxa"/>
            <w:tcBorders>
              <w:top w:val="single" w:color="auto" w:sz="2" w:space="0"/>
              <w:left w:val="single" w:color="auto" w:sz="2" w:space="0"/>
              <w:bottom w:val="single" w:color="auto" w:sz="2" w:space="0"/>
              <w:right w:val="single" w:color="auto" w:sz="2" w:space="0"/>
            </w:tcBorders>
            <w:vAlign w:val="center"/>
          </w:tcPr>
          <w:p w14:paraId="66F7C4C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791,738.46</w:t>
            </w:r>
          </w:p>
        </w:tc>
      </w:tr>
      <w:tr w14:paraId="31A0B4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D4D5FEC">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2.本期增加金额</w:t>
            </w:r>
          </w:p>
        </w:tc>
        <w:tc>
          <w:tcPr>
            <w:tcW w:w="2410" w:type="dxa"/>
            <w:tcBorders>
              <w:top w:val="single" w:color="auto" w:sz="2" w:space="0"/>
              <w:left w:val="single" w:color="auto" w:sz="2" w:space="0"/>
              <w:bottom w:val="single" w:color="auto" w:sz="2" w:space="0"/>
              <w:right w:val="single" w:color="auto" w:sz="2" w:space="0"/>
            </w:tcBorders>
            <w:vAlign w:val="center"/>
          </w:tcPr>
          <w:p w14:paraId="544AF72D">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22786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88,495.58</w:t>
            </w:r>
          </w:p>
        </w:tc>
        <w:tc>
          <w:tcPr>
            <w:tcW w:w="2410" w:type="dxa"/>
            <w:tcBorders>
              <w:top w:val="single" w:color="auto" w:sz="2" w:space="0"/>
              <w:left w:val="single" w:color="auto" w:sz="2" w:space="0"/>
              <w:bottom w:val="single" w:color="auto" w:sz="2" w:space="0"/>
              <w:right w:val="single" w:color="auto" w:sz="2" w:space="0"/>
            </w:tcBorders>
            <w:vAlign w:val="center"/>
          </w:tcPr>
          <w:p w14:paraId="175AED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88,495.58</w:t>
            </w:r>
          </w:p>
        </w:tc>
      </w:tr>
      <w:tr w14:paraId="7D30E5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3CAAAC5">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6AE6FEC">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AD77C56">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130D0A6">
            <w:pPr>
              <w:spacing w:before="0" w:after="0" w:line="240" w:lineRule="exact"/>
              <w:jc w:val="right"/>
              <w:rPr>
                <w:rFonts w:ascii="宋体" w:hAnsi="宋体" w:eastAsia="宋体" w:cs="宋体"/>
                <w:color w:val="auto"/>
                <w:sz w:val="18"/>
                <w:szCs w:val="18"/>
              </w:rPr>
            </w:pPr>
          </w:p>
        </w:tc>
      </w:tr>
      <w:tr w14:paraId="2BC743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D1A818A">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3.本期减少金额</w:t>
            </w:r>
          </w:p>
        </w:tc>
        <w:tc>
          <w:tcPr>
            <w:tcW w:w="2410" w:type="dxa"/>
            <w:tcBorders>
              <w:top w:val="single" w:color="auto" w:sz="2" w:space="0"/>
              <w:left w:val="single" w:color="auto" w:sz="2" w:space="0"/>
              <w:bottom w:val="single" w:color="auto" w:sz="2" w:space="0"/>
              <w:right w:val="single" w:color="auto" w:sz="2" w:space="0"/>
            </w:tcBorders>
            <w:vAlign w:val="center"/>
          </w:tcPr>
          <w:p w14:paraId="14E60874">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16B0BFC">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DAC3732">
            <w:pPr>
              <w:spacing w:before="0" w:after="0" w:line="240" w:lineRule="exact"/>
              <w:jc w:val="right"/>
              <w:rPr>
                <w:rFonts w:ascii="宋体" w:hAnsi="宋体" w:eastAsia="宋体" w:cs="宋体"/>
                <w:color w:val="auto"/>
                <w:sz w:val="18"/>
                <w:szCs w:val="18"/>
              </w:rPr>
            </w:pPr>
          </w:p>
        </w:tc>
      </w:tr>
      <w:tr w14:paraId="6AAF82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9AA98FE">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10C2CD7">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00E74D8">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1BCA5BD">
            <w:pPr>
              <w:spacing w:before="0" w:after="0" w:line="240" w:lineRule="exact"/>
              <w:jc w:val="right"/>
              <w:rPr>
                <w:rFonts w:ascii="宋体" w:hAnsi="宋体" w:eastAsia="宋体" w:cs="宋体"/>
                <w:color w:val="auto"/>
                <w:sz w:val="18"/>
                <w:szCs w:val="18"/>
              </w:rPr>
            </w:pPr>
          </w:p>
        </w:tc>
      </w:tr>
      <w:tr w14:paraId="2A08C0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D62A13A">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4.期末余额</w:t>
            </w:r>
          </w:p>
        </w:tc>
        <w:tc>
          <w:tcPr>
            <w:tcW w:w="2410" w:type="dxa"/>
            <w:tcBorders>
              <w:top w:val="single" w:color="auto" w:sz="2" w:space="0"/>
              <w:left w:val="single" w:color="auto" w:sz="2" w:space="0"/>
              <w:bottom w:val="single" w:color="auto" w:sz="2" w:space="0"/>
              <w:right w:val="single" w:color="auto" w:sz="2" w:space="0"/>
            </w:tcBorders>
            <w:vAlign w:val="center"/>
          </w:tcPr>
          <w:p w14:paraId="79FCD8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374,747.31</w:t>
            </w:r>
          </w:p>
        </w:tc>
        <w:tc>
          <w:tcPr>
            <w:tcW w:w="2410" w:type="dxa"/>
            <w:tcBorders>
              <w:top w:val="single" w:color="auto" w:sz="2" w:space="0"/>
              <w:left w:val="single" w:color="auto" w:sz="2" w:space="0"/>
              <w:bottom w:val="single" w:color="auto" w:sz="2" w:space="0"/>
              <w:right w:val="single" w:color="auto" w:sz="2" w:space="0"/>
            </w:tcBorders>
            <w:vAlign w:val="center"/>
          </w:tcPr>
          <w:p w14:paraId="6D326F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505,486.73</w:t>
            </w:r>
          </w:p>
        </w:tc>
        <w:tc>
          <w:tcPr>
            <w:tcW w:w="2410" w:type="dxa"/>
            <w:tcBorders>
              <w:top w:val="single" w:color="auto" w:sz="2" w:space="0"/>
              <w:left w:val="single" w:color="auto" w:sz="2" w:space="0"/>
              <w:bottom w:val="single" w:color="auto" w:sz="2" w:space="0"/>
              <w:right w:val="single" w:color="auto" w:sz="2" w:space="0"/>
            </w:tcBorders>
            <w:vAlign w:val="center"/>
          </w:tcPr>
          <w:p w14:paraId="4FD2F2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880,234.04</w:t>
            </w:r>
          </w:p>
        </w:tc>
      </w:tr>
      <w:tr w14:paraId="31F8AE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ACE41D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二、累计折旧</w:t>
            </w:r>
          </w:p>
        </w:tc>
        <w:tc>
          <w:tcPr>
            <w:tcW w:w="2410" w:type="dxa"/>
            <w:tcBorders>
              <w:top w:val="single" w:color="auto" w:sz="2" w:space="0"/>
              <w:left w:val="single" w:color="auto" w:sz="2" w:space="0"/>
              <w:bottom w:val="single" w:color="auto" w:sz="2" w:space="0"/>
              <w:right w:val="single" w:color="auto" w:sz="2" w:space="0"/>
            </w:tcBorders>
            <w:vAlign w:val="center"/>
          </w:tcPr>
          <w:p w14:paraId="2F5B15DE">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79204DD">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15BE68C">
            <w:pPr>
              <w:spacing w:before="0" w:after="0" w:line="240" w:lineRule="exact"/>
              <w:jc w:val="right"/>
              <w:rPr>
                <w:rFonts w:ascii="宋体" w:hAnsi="宋体" w:eastAsia="宋体" w:cs="宋体"/>
                <w:color w:val="auto"/>
                <w:sz w:val="18"/>
                <w:szCs w:val="18"/>
              </w:rPr>
            </w:pPr>
          </w:p>
        </w:tc>
      </w:tr>
      <w:tr w14:paraId="6C3870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565D849">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1.期初余额</w:t>
            </w:r>
          </w:p>
        </w:tc>
        <w:tc>
          <w:tcPr>
            <w:tcW w:w="2410" w:type="dxa"/>
            <w:tcBorders>
              <w:top w:val="single" w:color="auto" w:sz="2" w:space="0"/>
              <w:left w:val="single" w:color="auto" w:sz="2" w:space="0"/>
              <w:bottom w:val="single" w:color="auto" w:sz="2" w:space="0"/>
              <w:right w:val="single" w:color="auto" w:sz="2" w:space="0"/>
            </w:tcBorders>
            <w:vAlign w:val="center"/>
          </w:tcPr>
          <w:p w14:paraId="680AE9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202,988.19</w:t>
            </w:r>
          </w:p>
        </w:tc>
        <w:tc>
          <w:tcPr>
            <w:tcW w:w="2410" w:type="dxa"/>
            <w:tcBorders>
              <w:top w:val="single" w:color="auto" w:sz="2" w:space="0"/>
              <w:left w:val="single" w:color="auto" w:sz="2" w:space="0"/>
              <w:bottom w:val="single" w:color="auto" w:sz="2" w:space="0"/>
              <w:right w:val="single" w:color="auto" w:sz="2" w:space="0"/>
            </w:tcBorders>
            <w:vAlign w:val="center"/>
          </w:tcPr>
          <w:p w14:paraId="02A1A55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217,994.08</w:t>
            </w:r>
          </w:p>
        </w:tc>
        <w:tc>
          <w:tcPr>
            <w:tcW w:w="2410" w:type="dxa"/>
            <w:tcBorders>
              <w:top w:val="single" w:color="auto" w:sz="2" w:space="0"/>
              <w:left w:val="single" w:color="auto" w:sz="2" w:space="0"/>
              <w:bottom w:val="single" w:color="auto" w:sz="2" w:space="0"/>
              <w:right w:val="single" w:color="auto" w:sz="2" w:space="0"/>
            </w:tcBorders>
            <w:vAlign w:val="center"/>
          </w:tcPr>
          <w:p w14:paraId="4EB9CD1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420,982.27</w:t>
            </w:r>
          </w:p>
        </w:tc>
      </w:tr>
      <w:tr w14:paraId="375066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40E6533">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2.本期增加金额</w:t>
            </w:r>
          </w:p>
        </w:tc>
        <w:tc>
          <w:tcPr>
            <w:tcW w:w="2410" w:type="dxa"/>
            <w:tcBorders>
              <w:top w:val="single" w:color="auto" w:sz="2" w:space="0"/>
              <w:left w:val="single" w:color="auto" w:sz="2" w:space="0"/>
              <w:bottom w:val="single" w:color="auto" w:sz="2" w:space="0"/>
              <w:right w:val="single" w:color="auto" w:sz="2" w:space="0"/>
            </w:tcBorders>
            <w:vAlign w:val="center"/>
          </w:tcPr>
          <w:p w14:paraId="055A646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93,686.82</w:t>
            </w:r>
          </w:p>
        </w:tc>
        <w:tc>
          <w:tcPr>
            <w:tcW w:w="2410" w:type="dxa"/>
            <w:tcBorders>
              <w:top w:val="single" w:color="auto" w:sz="2" w:space="0"/>
              <w:left w:val="single" w:color="auto" w:sz="2" w:space="0"/>
              <w:bottom w:val="single" w:color="auto" w:sz="2" w:space="0"/>
              <w:right w:val="single" w:color="auto" w:sz="2" w:space="0"/>
            </w:tcBorders>
            <w:vAlign w:val="center"/>
          </w:tcPr>
          <w:p w14:paraId="290DB0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208,495.59</w:t>
            </w:r>
          </w:p>
        </w:tc>
        <w:tc>
          <w:tcPr>
            <w:tcW w:w="2410" w:type="dxa"/>
            <w:tcBorders>
              <w:top w:val="single" w:color="auto" w:sz="2" w:space="0"/>
              <w:left w:val="single" w:color="auto" w:sz="2" w:space="0"/>
              <w:bottom w:val="single" w:color="auto" w:sz="2" w:space="0"/>
              <w:right w:val="single" w:color="auto" w:sz="2" w:space="0"/>
            </w:tcBorders>
            <w:vAlign w:val="center"/>
          </w:tcPr>
          <w:p w14:paraId="6BC93A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302,182.41</w:t>
            </w:r>
          </w:p>
        </w:tc>
      </w:tr>
      <w:tr w14:paraId="3F19FD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B6033B6">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（1）计提</w:t>
            </w:r>
          </w:p>
        </w:tc>
        <w:tc>
          <w:tcPr>
            <w:tcW w:w="2410" w:type="dxa"/>
            <w:tcBorders>
              <w:top w:val="single" w:color="auto" w:sz="2" w:space="0"/>
              <w:left w:val="single" w:color="auto" w:sz="2" w:space="0"/>
              <w:bottom w:val="single" w:color="auto" w:sz="2" w:space="0"/>
              <w:right w:val="single" w:color="auto" w:sz="2" w:space="0"/>
            </w:tcBorders>
            <w:vAlign w:val="center"/>
          </w:tcPr>
          <w:p w14:paraId="66E469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93,686.82</w:t>
            </w:r>
          </w:p>
        </w:tc>
        <w:tc>
          <w:tcPr>
            <w:tcW w:w="2410" w:type="dxa"/>
            <w:tcBorders>
              <w:top w:val="single" w:color="auto" w:sz="2" w:space="0"/>
              <w:left w:val="single" w:color="auto" w:sz="2" w:space="0"/>
              <w:bottom w:val="single" w:color="auto" w:sz="2" w:space="0"/>
              <w:right w:val="single" w:color="auto" w:sz="2" w:space="0"/>
            </w:tcBorders>
            <w:vAlign w:val="center"/>
          </w:tcPr>
          <w:p w14:paraId="52F38CD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208,495.59</w:t>
            </w:r>
          </w:p>
        </w:tc>
        <w:tc>
          <w:tcPr>
            <w:tcW w:w="2410" w:type="dxa"/>
            <w:tcBorders>
              <w:top w:val="single" w:color="auto" w:sz="2" w:space="0"/>
              <w:left w:val="single" w:color="auto" w:sz="2" w:space="0"/>
              <w:bottom w:val="single" w:color="auto" w:sz="2" w:space="0"/>
              <w:right w:val="single" w:color="auto" w:sz="2" w:space="0"/>
            </w:tcBorders>
            <w:vAlign w:val="center"/>
          </w:tcPr>
          <w:p w14:paraId="407614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302,182.41</w:t>
            </w:r>
          </w:p>
        </w:tc>
      </w:tr>
      <w:tr w14:paraId="282E34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35046FA">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9731705">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6AB6E6D">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6CF0385">
            <w:pPr>
              <w:spacing w:before="0" w:after="0" w:line="240" w:lineRule="exact"/>
              <w:jc w:val="right"/>
              <w:rPr>
                <w:rFonts w:ascii="宋体" w:hAnsi="宋体" w:eastAsia="宋体" w:cs="宋体"/>
                <w:color w:val="auto"/>
                <w:sz w:val="18"/>
                <w:szCs w:val="18"/>
              </w:rPr>
            </w:pPr>
          </w:p>
        </w:tc>
      </w:tr>
      <w:tr w14:paraId="673276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5854FCF">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3.本期减少金额</w:t>
            </w:r>
          </w:p>
        </w:tc>
        <w:tc>
          <w:tcPr>
            <w:tcW w:w="2410" w:type="dxa"/>
            <w:tcBorders>
              <w:top w:val="single" w:color="auto" w:sz="2" w:space="0"/>
              <w:left w:val="single" w:color="auto" w:sz="2" w:space="0"/>
              <w:bottom w:val="single" w:color="auto" w:sz="2" w:space="0"/>
              <w:right w:val="single" w:color="auto" w:sz="2" w:space="0"/>
            </w:tcBorders>
            <w:vAlign w:val="center"/>
          </w:tcPr>
          <w:p w14:paraId="3653AFCE">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3471BCC">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53C9CF4">
            <w:pPr>
              <w:spacing w:before="0" w:after="0" w:line="240" w:lineRule="exact"/>
              <w:jc w:val="right"/>
              <w:rPr>
                <w:rFonts w:ascii="宋体" w:hAnsi="宋体" w:eastAsia="宋体" w:cs="宋体"/>
                <w:color w:val="auto"/>
                <w:sz w:val="18"/>
                <w:szCs w:val="18"/>
              </w:rPr>
            </w:pPr>
          </w:p>
        </w:tc>
      </w:tr>
      <w:tr w14:paraId="3B8B87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4454782">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（1）处置</w:t>
            </w:r>
          </w:p>
        </w:tc>
        <w:tc>
          <w:tcPr>
            <w:tcW w:w="2410" w:type="dxa"/>
            <w:tcBorders>
              <w:top w:val="single" w:color="auto" w:sz="2" w:space="0"/>
              <w:left w:val="single" w:color="auto" w:sz="2" w:space="0"/>
              <w:bottom w:val="single" w:color="auto" w:sz="2" w:space="0"/>
              <w:right w:val="single" w:color="auto" w:sz="2" w:space="0"/>
            </w:tcBorders>
            <w:vAlign w:val="center"/>
          </w:tcPr>
          <w:p w14:paraId="17B462DD">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11ED727">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32B7956">
            <w:pPr>
              <w:spacing w:before="0" w:after="0" w:line="240" w:lineRule="exact"/>
              <w:jc w:val="right"/>
              <w:rPr>
                <w:rFonts w:ascii="宋体" w:hAnsi="宋体" w:eastAsia="宋体" w:cs="宋体"/>
                <w:color w:val="auto"/>
                <w:sz w:val="18"/>
                <w:szCs w:val="18"/>
              </w:rPr>
            </w:pPr>
          </w:p>
        </w:tc>
      </w:tr>
      <w:tr w14:paraId="15E0B8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885DDAC">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395AB62">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D5A8A41">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1A6ABCC">
            <w:pPr>
              <w:spacing w:before="0" w:after="0" w:line="240" w:lineRule="exact"/>
              <w:jc w:val="right"/>
              <w:rPr>
                <w:rFonts w:ascii="宋体" w:hAnsi="宋体" w:eastAsia="宋体" w:cs="宋体"/>
                <w:color w:val="auto"/>
                <w:sz w:val="18"/>
                <w:szCs w:val="18"/>
              </w:rPr>
            </w:pPr>
          </w:p>
        </w:tc>
      </w:tr>
      <w:tr w14:paraId="22A715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E46F010">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4.期末余额</w:t>
            </w:r>
          </w:p>
        </w:tc>
        <w:tc>
          <w:tcPr>
            <w:tcW w:w="2410" w:type="dxa"/>
            <w:tcBorders>
              <w:top w:val="single" w:color="auto" w:sz="2" w:space="0"/>
              <w:left w:val="single" w:color="auto" w:sz="2" w:space="0"/>
              <w:bottom w:val="single" w:color="auto" w:sz="2" w:space="0"/>
              <w:right w:val="single" w:color="auto" w:sz="2" w:space="0"/>
            </w:tcBorders>
            <w:vAlign w:val="center"/>
          </w:tcPr>
          <w:p w14:paraId="6F274A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296,675.01</w:t>
            </w:r>
          </w:p>
        </w:tc>
        <w:tc>
          <w:tcPr>
            <w:tcW w:w="2410" w:type="dxa"/>
            <w:tcBorders>
              <w:top w:val="single" w:color="auto" w:sz="2" w:space="0"/>
              <w:left w:val="single" w:color="auto" w:sz="2" w:space="0"/>
              <w:bottom w:val="single" w:color="auto" w:sz="2" w:space="0"/>
              <w:right w:val="single" w:color="auto" w:sz="2" w:space="0"/>
            </w:tcBorders>
            <w:vAlign w:val="center"/>
          </w:tcPr>
          <w:p w14:paraId="3608CE1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426,489.67</w:t>
            </w:r>
          </w:p>
        </w:tc>
        <w:tc>
          <w:tcPr>
            <w:tcW w:w="2410" w:type="dxa"/>
            <w:tcBorders>
              <w:top w:val="single" w:color="auto" w:sz="2" w:space="0"/>
              <w:left w:val="single" w:color="auto" w:sz="2" w:space="0"/>
              <w:bottom w:val="single" w:color="auto" w:sz="2" w:space="0"/>
              <w:right w:val="single" w:color="auto" w:sz="2" w:space="0"/>
            </w:tcBorders>
            <w:vAlign w:val="center"/>
          </w:tcPr>
          <w:p w14:paraId="30A4F2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723,164.68</w:t>
            </w:r>
          </w:p>
        </w:tc>
      </w:tr>
      <w:tr w14:paraId="5BB30C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9CA959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三、减值准备</w:t>
            </w:r>
          </w:p>
        </w:tc>
        <w:tc>
          <w:tcPr>
            <w:tcW w:w="2410" w:type="dxa"/>
            <w:tcBorders>
              <w:top w:val="single" w:color="auto" w:sz="2" w:space="0"/>
              <w:left w:val="single" w:color="auto" w:sz="2" w:space="0"/>
              <w:bottom w:val="single" w:color="auto" w:sz="2" w:space="0"/>
              <w:right w:val="single" w:color="auto" w:sz="2" w:space="0"/>
            </w:tcBorders>
            <w:vAlign w:val="center"/>
          </w:tcPr>
          <w:p w14:paraId="186154F0">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91BA1A7">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A6F5760">
            <w:pPr>
              <w:spacing w:before="0" w:after="0" w:line="240" w:lineRule="exact"/>
              <w:jc w:val="right"/>
              <w:rPr>
                <w:rFonts w:ascii="宋体" w:hAnsi="宋体" w:eastAsia="宋体" w:cs="宋体"/>
                <w:color w:val="auto"/>
                <w:sz w:val="18"/>
                <w:szCs w:val="18"/>
              </w:rPr>
            </w:pPr>
          </w:p>
        </w:tc>
      </w:tr>
      <w:tr w14:paraId="52E6AD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07F25F5">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1.期初余额</w:t>
            </w:r>
          </w:p>
        </w:tc>
        <w:tc>
          <w:tcPr>
            <w:tcW w:w="2410" w:type="dxa"/>
            <w:tcBorders>
              <w:top w:val="single" w:color="auto" w:sz="2" w:space="0"/>
              <w:left w:val="single" w:color="auto" w:sz="2" w:space="0"/>
              <w:bottom w:val="single" w:color="auto" w:sz="2" w:space="0"/>
              <w:right w:val="single" w:color="auto" w:sz="2" w:space="0"/>
            </w:tcBorders>
            <w:vAlign w:val="center"/>
          </w:tcPr>
          <w:p w14:paraId="351FCCE4">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6B72A57">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642F676">
            <w:pPr>
              <w:spacing w:before="0" w:after="0" w:line="240" w:lineRule="exact"/>
              <w:jc w:val="right"/>
              <w:rPr>
                <w:rFonts w:ascii="宋体" w:hAnsi="宋体" w:eastAsia="宋体" w:cs="宋体"/>
                <w:color w:val="auto"/>
                <w:sz w:val="18"/>
                <w:szCs w:val="18"/>
              </w:rPr>
            </w:pPr>
          </w:p>
        </w:tc>
      </w:tr>
      <w:tr w14:paraId="151EB9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4AFBBC9">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2.本期增加金额</w:t>
            </w:r>
          </w:p>
        </w:tc>
        <w:tc>
          <w:tcPr>
            <w:tcW w:w="2410" w:type="dxa"/>
            <w:tcBorders>
              <w:top w:val="single" w:color="auto" w:sz="2" w:space="0"/>
              <w:left w:val="single" w:color="auto" w:sz="2" w:space="0"/>
              <w:bottom w:val="single" w:color="auto" w:sz="2" w:space="0"/>
              <w:right w:val="single" w:color="auto" w:sz="2" w:space="0"/>
            </w:tcBorders>
            <w:vAlign w:val="center"/>
          </w:tcPr>
          <w:p w14:paraId="029B9CF2">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89B89E9">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376AD28">
            <w:pPr>
              <w:spacing w:before="0" w:after="0" w:line="240" w:lineRule="exact"/>
              <w:jc w:val="right"/>
              <w:rPr>
                <w:rFonts w:ascii="宋体" w:hAnsi="宋体" w:eastAsia="宋体" w:cs="宋体"/>
                <w:color w:val="auto"/>
                <w:sz w:val="18"/>
                <w:szCs w:val="18"/>
              </w:rPr>
            </w:pPr>
          </w:p>
        </w:tc>
      </w:tr>
      <w:tr w14:paraId="1008E9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AA20B1E">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（1）计提</w:t>
            </w:r>
          </w:p>
        </w:tc>
        <w:tc>
          <w:tcPr>
            <w:tcW w:w="2410" w:type="dxa"/>
            <w:tcBorders>
              <w:top w:val="single" w:color="auto" w:sz="2" w:space="0"/>
              <w:left w:val="single" w:color="auto" w:sz="2" w:space="0"/>
              <w:bottom w:val="single" w:color="auto" w:sz="2" w:space="0"/>
              <w:right w:val="single" w:color="auto" w:sz="2" w:space="0"/>
            </w:tcBorders>
            <w:vAlign w:val="center"/>
          </w:tcPr>
          <w:p w14:paraId="42EF17A2">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07E3F4E">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B00EACA">
            <w:pPr>
              <w:spacing w:before="0" w:after="0" w:line="240" w:lineRule="exact"/>
              <w:jc w:val="right"/>
              <w:rPr>
                <w:rFonts w:ascii="宋体" w:hAnsi="宋体" w:eastAsia="宋体" w:cs="宋体"/>
                <w:color w:val="auto"/>
                <w:sz w:val="18"/>
                <w:szCs w:val="18"/>
              </w:rPr>
            </w:pPr>
          </w:p>
        </w:tc>
      </w:tr>
      <w:tr w14:paraId="4E6AC0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248BB39">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516B3B1">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01C55D8">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F4F5F7B">
            <w:pPr>
              <w:spacing w:before="0" w:after="0" w:line="240" w:lineRule="exact"/>
              <w:jc w:val="right"/>
              <w:rPr>
                <w:rFonts w:ascii="宋体" w:hAnsi="宋体" w:eastAsia="宋体" w:cs="宋体"/>
                <w:color w:val="auto"/>
                <w:sz w:val="18"/>
                <w:szCs w:val="18"/>
              </w:rPr>
            </w:pPr>
          </w:p>
        </w:tc>
      </w:tr>
      <w:tr w14:paraId="1FEE8F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C380B1D">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3.本期减少金额</w:t>
            </w:r>
          </w:p>
        </w:tc>
        <w:tc>
          <w:tcPr>
            <w:tcW w:w="2410" w:type="dxa"/>
            <w:tcBorders>
              <w:top w:val="single" w:color="auto" w:sz="2" w:space="0"/>
              <w:left w:val="single" w:color="auto" w:sz="2" w:space="0"/>
              <w:bottom w:val="single" w:color="auto" w:sz="2" w:space="0"/>
              <w:right w:val="single" w:color="auto" w:sz="2" w:space="0"/>
            </w:tcBorders>
            <w:vAlign w:val="center"/>
          </w:tcPr>
          <w:p w14:paraId="2299F9D6">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756269B">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2C408D2">
            <w:pPr>
              <w:spacing w:before="0" w:after="0" w:line="240" w:lineRule="exact"/>
              <w:jc w:val="right"/>
              <w:rPr>
                <w:rFonts w:ascii="宋体" w:hAnsi="宋体" w:eastAsia="宋体" w:cs="宋体"/>
                <w:color w:val="auto"/>
                <w:sz w:val="18"/>
                <w:szCs w:val="18"/>
              </w:rPr>
            </w:pPr>
          </w:p>
        </w:tc>
      </w:tr>
      <w:tr w14:paraId="78D774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1BB7E54">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（1）处置</w:t>
            </w:r>
          </w:p>
        </w:tc>
        <w:tc>
          <w:tcPr>
            <w:tcW w:w="2410" w:type="dxa"/>
            <w:tcBorders>
              <w:top w:val="single" w:color="auto" w:sz="2" w:space="0"/>
              <w:left w:val="single" w:color="auto" w:sz="2" w:space="0"/>
              <w:bottom w:val="single" w:color="auto" w:sz="2" w:space="0"/>
              <w:right w:val="single" w:color="auto" w:sz="2" w:space="0"/>
            </w:tcBorders>
            <w:vAlign w:val="center"/>
          </w:tcPr>
          <w:p w14:paraId="57D88A25">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6FC486F">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509E9B0">
            <w:pPr>
              <w:spacing w:before="0" w:after="0" w:line="240" w:lineRule="exact"/>
              <w:jc w:val="right"/>
              <w:rPr>
                <w:rFonts w:ascii="宋体" w:hAnsi="宋体" w:eastAsia="宋体" w:cs="宋体"/>
                <w:color w:val="auto"/>
                <w:sz w:val="18"/>
                <w:szCs w:val="18"/>
              </w:rPr>
            </w:pPr>
          </w:p>
        </w:tc>
      </w:tr>
      <w:tr w14:paraId="7BBE13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D78C28E">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F7989C3">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9E73CB4">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29E98CC">
            <w:pPr>
              <w:spacing w:before="0" w:after="0" w:line="240" w:lineRule="exact"/>
              <w:jc w:val="right"/>
              <w:rPr>
                <w:rFonts w:ascii="宋体" w:hAnsi="宋体" w:eastAsia="宋体" w:cs="宋体"/>
                <w:color w:val="auto"/>
                <w:sz w:val="18"/>
                <w:szCs w:val="18"/>
              </w:rPr>
            </w:pPr>
          </w:p>
        </w:tc>
      </w:tr>
      <w:tr w14:paraId="43B246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6B3808">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4.期末余额</w:t>
            </w:r>
          </w:p>
        </w:tc>
        <w:tc>
          <w:tcPr>
            <w:tcW w:w="2410" w:type="dxa"/>
            <w:tcBorders>
              <w:top w:val="single" w:color="auto" w:sz="2" w:space="0"/>
              <w:left w:val="single" w:color="auto" w:sz="2" w:space="0"/>
              <w:bottom w:val="single" w:color="auto" w:sz="2" w:space="0"/>
              <w:right w:val="single" w:color="auto" w:sz="2" w:space="0"/>
            </w:tcBorders>
            <w:vAlign w:val="center"/>
          </w:tcPr>
          <w:p w14:paraId="69A994F9">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3214D0B">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6F14500">
            <w:pPr>
              <w:spacing w:before="0" w:after="0" w:line="240" w:lineRule="exact"/>
              <w:jc w:val="right"/>
              <w:rPr>
                <w:rFonts w:ascii="宋体" w:hAnsi="宋体" w:eastAsia="宋体" w:cs="宋体"/>
                <w:color w:val="auto"/>
                <w:sz w:val="18"/>
                <w:szCs w:val="18"/>
              </w:rPr>
            </w:pPr>
          </w:p>
        </w:tc>
      </w:tr>
      <w:tr w14:paraId="270C3E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E87E1C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四、账面价值</w:t>
            </w:r>
          </w:p>
        </w:tc>
        <w:tc>
          <w:tcPr>
            <w:tcW w:w="2410" w:type="dxa"/>
            <w:tcBorders>
              <w:top w:val="single" w:color="auto" w:sz="2" w:space="0"/>
              <w:left w:val="single" w:color="auto" w:sz="2" w:space="0"/>
              <w:bottom w:val="single" w:color="auto" w:sz="2" w:space="0"/>
              <w:right w:val="single" w:color="auto" w:sz="2" w:space="0"/>
            </w:tcBorders>
            <w:vAlign w:val="center"/>
          </w:tcPr>
          <w:p w14:paraId="062E0290">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F550104">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CFCCE0D">
            <w:pPr>
              <w:spacing w:before="0" w:after="0" w:line="240" w:lineRule="exact"/>
              <w:jc w:val="right"/>
              <w:rPr>
                <w:rFonts w:ascii="宋体" w:hAnsi="宋体" w:eastAsia="宋体" w:cs="宋体"/>
                <w:color w:val="auto"/>
                <w:sz w:val="18"/>
                <w:szCs w:val="18"/>
              </w:rPr>
            </w:pPr>
          </w:p>
        </w:tc>
      </w:tr>
      <w:tr w14:paraId="70058D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ECA655">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1.期末账面价值</w:t>
            </w:r>
          </w:p>
        </w:tc>
        <w:tc>
          <w:tcPr>
            <w:tcW w:w="2410" w:type="dxa"/>
            <w:tcBorders>
              <w:top w:val="single" w:color="auto" w:sz="2" w:space="0"/>
              <w:left w:val="single" w:color="auto" w:sz="2" w:space="0"/>
              <w:bottom w:val="single" w:color="auto" w:sz="2" w:space="0"/>
              <w:right w:val="single" w:color="auto" w:sz="2" w:space="0"/>
            </w:tcBorders>
            <w:vAlign w:val="center"/>
          </w:tcPr>
          <w:p w14:paraId="1581C25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78,072.30</w:t>
            </w:r>
          </w:p>
        </w:tc>
        <w:tc>
          <w:tcPr>
            <w:tcW w:w="2410" w:type="dxa"/>
            <w:tcBorders>
              <w:top w:val="single" w:color="auto" w:sz="2" w:space="0"/>
              <w:left w:val="single" w:color="auto" w:sz="2" w:space="0"/>
              <w:bottom w:val="single" w:color="auto" w:sz="2" w:space="0"/>
              <w:right w:val="single" w:color="auto" w:sz="2" w:space="0"/>
            </w:tcBorders>
            <w:vAlign w:val="center"/>
          </w:tcPr>
          <w:p w14:paraId="15DBA23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78,997.06</w:t>
            </w:r>
          </w:p>
        </w:tc>
        <w:tc>
          <w:tcPr>
            <w:tcW w:w="2410" w:type="dxa"/>
            <w:tcBorders>
              <w:top w:val="single" w:color="auto" w:sz="2" w:space="0"/>
              <w:left w:val="single" w:color="auto" w:sz="2" w:space="0"/>
              <w:bottom w:val="single" w:color="auto" w:sz="2" w:space="0"/>
              <w:right w:val="single" w:color="auto" w:sz="2" w:space="0"/>
            </w:tcBorders>
            <w:vAlign w:val="center"/>
          </w:tcPr>
          <w:p w14:paraId="0292664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157,069.36</w:t>
            </w:r>
          </w:p>
        </w:tc>
      </w:tr>
      <w:tr w14:paraId="156688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31DBFEF">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2.期初账面价值</w:t>
            </w:r>
          </w:p>
        </w:tc>
        <w:tc>
          <w:tcPr>
            <w:tcW w:w="2410" w:type="dxa"/>
            <w:tcBorders>
              <w:top w:val="single" w:color="auto" w:sz="2" w:space="0"/>
              <w:left w:val="single" w:color="auto" w:sz="2" w:space="0"/>
              <w:bottom w:val="single" w:color="auto" w:sz="2" w:space="0"/>
              <w:right w:val="single" w:color="auto" w:sz="2" w:space="0"/>
            </w:tcBorders>
            <w:vAlign w:val="center"/>
          </w:tcPr>
          <w:p w14:paraId="555D35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171,759.12</w:t>
            </w:r>
          </w:p>
        </w:tc>
        <w:tc>
          <w:tcPr>
            <w:tcW w:w="2410" w:type="dxa"/>
            <w:tcBorders>
              <w:top w:val="single" w:color="auto" w:sz="2" w:space="0"/>
              <w:left w:val="single" w:color="auto" w:sz="2" w:space="0"/>
              <w:bottom w:val="single" w:color="auto" w:sz="2" w:space="0"/>
              <w:right w:val="single" w:color="auto" w:sz="2" w:space="0"/>
            </w:tcBorders>
            <w:vAlign w:val="center"/>
          </w:tcPr>
          <w:p w14:paraId="0D850C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198,997.07</w:t>
            </w:r>
          </w:p>
        </w:tc>
        <w:tc>
          <w:tcPr>
            <w:tcW w:w="2410" w:type="dxa"/>
            <w:tcBorders>
              <w:top w:val="single" w:color="auto" w:sz="2" w:space="0"/>
              <w:left w:val="single" w:color="auto" w:sz="2" w:space="0"/>
              <w:bottom w:val="single" w:color="auto" w:sz="2" w:space="0"/>
              <w:right w:val="single" w:color="auto" w:sz="2" w:space="0"/>
            </w:tcBorders>
            <w:vAlign w:val="center"/>
          </w:tcPr>
          <w:p w14:paraId="583B1F9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370,756.19</w:t>
            </w:r>
          </w:p>
        </w:tc>
      </w:tr>
    </w:tbl>
    <w:p w14:paraId="3D247380">
      <w:pPr>
        <w:keepNext/>
        <w:keepLines/>
        <w:spacing w:before="300" w:after="300" w:line="280" w:lineRule="exact"/>
        <w:jc w:val="left"/>
        <w:outlineLvl w:val="3"/>
        <w:rPr>
          <w:rFonts w:ascii="宋体" w:hAnsi="宋体" w:eastAsia="宋体" w:cs="宋体"/>
          <w:b/>
          <w:bCs/>
          <w:color w:val="auto"/>
          <w:sz w:val="21"/>
          <w:szCs w:val="21"/>
        </w:rPr>
      </w:pPr>
      <w:bookmarkStart w:id="187" w:name="_Toc989163"/>
      <w:r>
        <w:rPr>
          <w:rFonts w:ascii="宋体" w:hAnsi="宋体" w:eastAsia="宋体" w:cs="宋体"/>
          <w:b/>
          <w:bCs/>
          <w:color w:val="auto"/>
          <w:sz w:val="21"/>
          <w:szCs w:val="21"/>
        </w:rPr>
        <w:t>（2）使用权资产的减值测试情况</w:t>
      </w:r>
      <w:bookmarkEnd w:id="187"/>
    </w:p>
    <w:p w14:paraId="09BCA1B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4AEDA877">
      <w:pPr>
        <w:spacing w:before="100" w:after="100" w:line="0" w:lineRule="exact"/>
        <w:jc w:val="left"/>
        <w:rPr>
          <w:color w:val="auto"/>
        </w:rPr>
      </w:pPr>
    </w:p>
    <w:p w14:paraId="2CD7040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3204C4B0">
      <w:pPr>
        <w:keepNext/>
        <w:keepLines/>
        <w:spacing w:before="300" w:after="300" w:line="280" w:lineRule="exact"/>
        <w:jc w:val="left"/>
        <w:outlineLvl w:val="2"/>
        <w:rPr>
          <w:rFonts w:ascii="宋体" w:hAnsi="宋体" w:eastAsia="宋体" w:cs="宋体"/>
          <w:b/>
          <w:bCs/>
          <w:color w:val="auto"/>
          <w:sz w:val="21"/>
          <w:szCs w:val="21"/>
        </w:rPr>
      </w:pPr>
      <w:bookmarkStart w:id="188" w:name="_Toc989164"/>
      <w:r>
        <w:rPr>
          <w:rFonts w:ascii="宋体" w:hAnsi="宋体" w:eastAsia="宋体" w:cs="宋体"/>
          <w:b/>
          <w:bCs/>
          <w:color w:val="auto"/>
          <w:sz w:val="21"/>
          <w:szCs w:val="21"/>
        </w:rPr>
        <w:t>26、无形资产</w:t>
      </w:r>
      <w:bookmarkEnd w:id="188"/>
    </w:p>
    <w:p w14:paraId="036A7781">
      <w:pPr>
        <w:keepNext/>
        <w:keepLines/>
        <w:spacing w:before="300" w:after="300" w:line="280" w:lineRule="exact"/>
        <w:jc w:val="left"/>
        <w:outlineLvl w:val="3"/>
        <w:rPr>
          <w:rFonts w:ascii="宋体" w:hAnsi="宋体" w:eastAsia="宋体" w:cs="宋体"/>
          <w:b/>
          <w:bCs/>
          <w:color w:val="auto"/>
          <w:sz w:val="21"/>
          <w:szCs w:val="21"/>
        </w:rPr>
      </w:pPr>
      <w:bookmarkStart w:id="189" w:name="_Toc989165"/>
      <w:r>
        <w:rPr>
          <w:rFonts w:ascii="宋体" w:hAnsi="宋体" w:eastAsia="宋体" w:cs="宋体"/>
          <w:b/>
          <w:bCs/>
          <w:color w:val="auto"/>
          <w:sz w:val="21"/>
          <w:szCs w:val="21"/>
        </w:rPr>
        <w:t>（1）无形资产情况</w:t>
      </w:r>
      <w:bookmarkEnd w:id="189"/>
    </w:p>
    <w:p w14:paraId="7FB2EA6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4"/>
        <w:gridCol w:w="964"/>
        <w:gridCol w:w="964"/>
        <w:gridCol w:w="964"/>
        <w:gridCol w:w="964"/>
        <w:gridCol w:w="964"/>
        <w:gridCol w:w="964"/>
        <w:gridCol w:w="964"/>
        <w:gridCol w:w="964"/>
        <w:gridCol w:w="964"/>
      </w:tblGrid>
      <w:tr w14:paraId="3E1E21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E44721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12C440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土地使用权</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F94196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专利权</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B80DF8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非专利技术</w:t>
            </w:r>
          </w:p>
        </w:tc>
        <w:tc>
          <w:tcPr>
            <w:tcW w:w="964" w:type="dxa"/>
            <w:tcBorders>
              <w:top w:val="single" w:color="auto" w:sz="2" w:space="0"/>
              <w:left w:val="single" w:color="auto" w:sz="2" w:space="0"/>
              <w:bottom w:val="single" w:color="auto" w:sz="2" w:space="0"/>
              <w:right w:val="single" w:color="auto" w:sz="2" w:space="0"/>
            </w:tcBorders>
            <w:vAlign w:val="center"/>
          </w:tcPr>
          <w:p w14:paraId="0718BAA6">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土地使用权</w:t>
            </w:r>
          </w:p>
        </w:tc>
        <w:tc>
          <w:tcPr>
            <w:tcW w:w="964" w:type="dxa"/>
            <w:tcBorders>
              <w:top w:val="single" w:color="auto" w:sz="2" w:space="0"/>
              <w:left w:val="single" w:color="auto" w:sz="2" w:space="0"/>
              <w:bottom w:val="single" w:color="auto" w:sz="2" w:space="0"/>
              <w:right w:val="single" w:color="auto" w:sz="2" w:space="0"/>
            </w:tcBorders>
            <w:vAlign w:val="center"/>
          </w:tcPr>
          <w:p w14:paraId="58BBA628">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商标权</w:t>
            </w:r>
          </w:p>
        </w:tc>
        <w:tc>
          <w:tcPr>
            <w:tcW w:w="964" w:type="dxa"/>
            <w:tcBorders>
              <w:top w:val="single" w:color="auto" w:sz="2" w:space="0"/>
              <w:left w:val="single" w:color="auto" w:sz="2" w:space="0"/>
              <w:bottom w:val="single" w:color="auto" w:sz="2" w:space="0"/>
              <w:right w:val="single" w:color="auto" w:sz="2" w:space="0"/>
            </w:tcBorders>
            <w:vAlign w:val="center"/>
          </w:tcPr>
          <w:p w14:paraId="4356ED25">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专有技术权</w:t>
            </w:r>
          </w:p>
        </w:tc>
        <w:tc>
          <w:tcPr>
            <w:tcW w:w="964" w:type="dxa"/>
            <w:tcBorders>
              <w:top w:val="single" w:color="auto" w:sz="2" w:space="0"/>
              <w:left w:val="single" w:color="auto" w:sz="2" w:space="0"/>
              <w:bottom w:val="single" w:color="auto" w:sz="2" w:space="0"/>
              <w:right w:val="single" w:color="auto" w:sz="2" w:space="0"/>
            </w:tcBorders>
            <w:vAlign w:val="center"/>
          </w:tcPr>
          <w:p w14:paraId="5F6D7497">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办公软件</w:t>
            </w:r>
          </w:p>
        </w:tc>
        <w:tc>
          <w:tcPr>
            <w:tcW w:w="964" w:type="dxa"/>
            <w:tcBorders>
              <w:top w:val="single" w:color="auto" w:sz="2" w:space="0"/>
              <w:left w:val="single" w:color="auto" w:sz="2" w:space="0"/>
              <w:bottom w:val="single" w:color="auto" w:sz="2" w:space="0"/>
              <w:right w:val="single" w:color="auto" w:sz="2" w:space="0"/>
            </w:tcBorders>
            <w:vAlign w:val="center"/>
          </w:tcPr>
          <w:p w14:paraId="6FA21683">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特许权</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D382DC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4A47EF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76191F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一、账面原值</w:t>
            </w:r>
          </w:p>
        </w:tc>
        <w:tc>
          <w:tcPr>
            <w:tcW w:w="964" w:type="dxa"/>
            <w:tcBorders>
              <w:top w:val="single" w:color="auto" w:sz="2" w:space="0"/>
              <w:left w:val="single" w:color="auto" w:sz="2" w:space="0"/>
              <w:bottom w:val="single" w:color="auto" w:sz="2" w:space="0"/>
              <w:right w:val="single" w:color="auto" w:sz="2" w:space="0"/>
            </w:tcBorders>
            <w:vAlign w:val="center"/>
          </w:tcPr>
          <w:p w14:paraId="08D32069">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BF4362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85509E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3E0414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18640F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6F426A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EFF206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3FDD3D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B25E6AB">
            <w:pPr>
              <w:spacing w:before="0" w:after="0" w:line="240" w:lineRule="exact"/>
              <w:jc w:val="right"/>
              <w:rPr>
                <w:rFonts w:ascii="宋体" w:hAnsi="宋体" w:eastAsia="宋体" w:cs="宋体"/>
                <w:color w:val="auto"/>
                <w:sz w:val="18"/>
                <w:szCs w:val="18"/>
              </w:rPr>
            </w:pPr>
          </w:p>
        </w:tc>
      </w:tr>
      <w:tr w14:paraId="14DC48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9B2339D">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1.期初余额</w:t>
            </w:r>
          </w:p>
        </w:tc>
        <w:tc>
          <w:tcPr>
            <w:tcW w:w="964" w:type="dxa"/>
            <w:tcBorders>
              <w:top w:val="single" w:color="auto" w:sz="2" w:space="0"/>
              <w:left w:val="single" w:color="auto" w:sz="2" w:space="0"/>
              <w:bottom w:val="single" w:color="auto" w:sz="2" w:space="0"/>
              <w:right w:val="single" w:color="auto" w:sz="2" w:space="0"/>
            </w:tcBorders>
            <w:vAlign w:val="center"/>
          </w:tcPr>
          <w:p w14:paraId="6D48D66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2E0069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3F8FA9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16F4C0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61,557,794.24</w:t>
            </w:r>
          </w:p>
        </w:tc>
        <w:tc>
          <w:tcPr>
            <w:tcW w:w="964" w:type="dxa"/>
            <w:tcBorders>
              <w:top w:val="single" w:color="auto" w:sz="2" w:space="0"/>
              <w:left w:val="single" w:color="auto" w:sz="2" w:space="0"/>
              <w:bottom w:val="single" w:color="auto" w:sz="2" w:space="0"/>
              <w:right w:val="single" w:color="auto" w:sz="2" w:space="0"/>
            </w:tcBorders>
            <w:vAlign w:val="center"/>
          </w:tcPr>
          <w:p w14:paraId="061B499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790,955.30</w:t>
            </w:r>
          </w:p>
        </w:tc>
        <w:tc>
          <w:tcPr>
            <w:tcW w:w="964" w:type="dxa"/>
            <w:tcBorders>
              <w:top w:val="single" w:color="auto" w:sz="2" w:space="0"/>
              <w:left w:val="single" w:color="auto" w:sz="2" w:space="0"/>
              <w:bottom w:val="single" w:color="auto" w:sz="2" w:space="0"/>
              <w:right w:val="single" w:color="auto" w:sz="2" w:space="0"/>
            </w:tcBorders>
            <w:vAlign w:val="center"/>
          </w:tcPr>
          <w:p w14:paraId="780167B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363,118,878.88</w:t>
            </w:r>
          </w:p>
        </w:tc>
        <w:tc>
          <w:tcPr>
            <w:tcW w:w="964" w:type="dxa"/>
            <w:tcBorders>
              <w:top w:val="single" w:color="auto" w:sz="2" w:space="0"/>
              <w:left w:val="single" w:color="auto" w:sz="2" w:space="0"/>
              <w:bottom w:val="single" w:color="auto" w:sz="2" w:space="0"/>
              <w:right w:val="single" w:color="auto" w:sz="2" w:space="0"/>
            </w:tcBorders>
            <w:vAlign w:val="center"/>
          </w:tcPr>
          <w:p w14:paraId="1369D3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5,118,900.53</w:t>
            </w:r>
          </w:p>
        </w:tc>
        <w:tc>
          <w:tcPr>
            <w:tcW w:w="964" w:type="dxa"/>
            <w:tcBorders>
              <w:top w:val="single" w:color="auto" w:sz="2" w:space="0"/>
              <w:left w:val="single" w:color="auto" w:sz="2" w:space="0"/>
              <w:bottom w:val="single" w:color="auto" w:sz="2" w:space="0"/>
              <w:right w:val="single" w:color="auto" w:sz="2" w:space="0"/>
            </w:tcBorders>
            <w:vAlign w:val="center"/>
          </w:tcPr>
          <w:p w14:paraId="494CEA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468,219.66</w:t>
            </w:r>
          </w:p>
        </w:tc>
        <w:tc>
          <w:tcPr>
            <w:tcW w:w="964" w:type="dxa"/>
            <w:tcBorders>
              <w:top w:val="single" w:color="auto" w:sz="2" w:space="0"/>
              <w:left w:val="single" w:color="auto" w:sz="2" w:space="0"/>
              <w:bottom w:val="single" w:color="auto" w:sz="2" w:space="0"/>
              <w:right w:val="single" w:color="auto" w:sz="2" w:space="0"/>
            </w:tcBorders>
            <w:vAlign w:val="center"/>
          </w:tcPr>
          <w:p w14:paraId="0FDD21C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431,054,748.61</w:t>
            </w:r>
          </w:p>
        </w:tc>
      </w:tr>
      <w:tr w14:paraId="6163AD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3D3913E">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2.本期增加金额</w:t>
            </w:r>
          </w:p>
        </w:tc>
        <w:tc>
          <w:tcPr>
            <w:tcW w:w="964" w:type="dxa"/>
            <w:tcBorders>
              <w:top w:val="single" w:color="auto" w:sz="2" w:space="0"/>
              <w:left w:val="single" w:color="auto" w:sz="2" w:space="0"/>
              <w:bottom w:val="single" w:color="auto" w:sz="2" w:space="0"/>
              <w:right w:val="single" w:color="auto" w:sz="2" w:space="0"/>
            </w:tcBorders>
            <w:vAlign w:val="center"/>
          </w:tcPr>
          <w:p w14:paraId="459B7ED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993F6F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0D1026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8D7FF1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D0F68B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25A6E3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5,839,838.38</w:t>
            </w:r>
          </w:p>
        </w:tc>
        <w:tc>
          <w:tcPr>
            <w:tcW w:w="964" w:type="dxa"/>
            <w:tcBorders>
              <w:top w:val="single" w:color="auto" w:sz="2" w:space="0"/>
              <w:left w:val="single" w:color="auto" w:sz="2" w:space="0"/>
              <w:bottom w:val="single" w:color="auto" w:sz="2" w:space="0"/>
              <w:right w:val="single" w:color="auto" w:sz="2" w:space="0"/>
            </w:tcBorders>
            <w:vAlign w:val="center"/>
          </w:tcPr>
          <w:p w14:paraId="5DACB43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2BEF35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7A5F1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5,839,838.38</w:t>
            </w:r>
          </w:p>
        </w:tc>
      </w:tr>
      <w:tr w14:paraId="5DE28D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265D8FF">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（1）购置</w:t>
            </w:r>
          </w:p>
        </w:tc>
        <w:tc>
          <w:tcPr>
            <w:tcW w:w="964" w:type="dxa"/>
            <w:tcBorders>
              <w:top w:val="single" w:color="auto" w:sz="2" w:space="0"/>
              <w:left w:val="single" w:color="auto" w:sz="2" w:space="0"/>
              <w:bottom w:val="single" w:color="auto" w:sz="2" w:space="0"/>
              <w:right w:val="single" w:color="auto" w:sz="2" w:space="0"/>
            </w:tcBorders>
            <w:vAlign w:val="center"/>
          </w:tcPr>
          <w:p w14:paraId="73B25AA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3319B6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D9E202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C85287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91EAFD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B77F0AC">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56ABD2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3B75FC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5A73160">
            <w:pPr>
              <w:spacing w:before="0" w:after="0" w:line="240" w:lineRule="exact"/>
              <w:jc w:val="right"/>
              <w:rPr>
                <w:rFonts w:ascii="宋体" w:hAnsi="宋体" w:eastAsia="宋体" w:cs="宋体"/>
                <w:color w:val="auto"/>
                <w:sz w:val="18"/>
                <w:szCs w:val="18"/>
              </w:rPr>
            </w:pPr>
          </w:p>
        </w:tc>
      </w:tr>
      <w:tr w14:paraId="0772F0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26DB04A2">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（2）内部研发</w:t>
            </w:r>
          </w:p>
        </w:tc>
        <w:tc>
          <w:tcPr>
            <w:tcW w:w="964" w:type="dxa"/>
            <w:tcBorders>
              <w:top w:val="single" w:color="auto" w:sz="2" w:space="0"/>
              <w:left w:val="single" w:color="auto" w:sz="2" w:space="0"/>
              <w:bottom w:val="single" w:color="auto" w:sz="2" w:space="0"/>
              <w:right w:val="single" w:color="auto" w:sz="2" w:space="0"/>
            </w:tcBorders>
            <w:vAlign w:val="center"/>
          </w:tcPr>
          <w:p w14:paraId="424A794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1A3704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2C84B9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71E1AF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4984E2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709F1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5,839,838.38</w:t>
            </w:r>
          </w:p>
        </w:tc>
        <w:tc>
          <w:tcPr>
            <w:tcW w:w="964" w:type="dxa"/>
            <w:tcBorders>
              <w:top w:val="single" w:color="auto" w:sz="2" w:space="0"/>
              <w:left w:val="single" w:color="auto" w:sz="2" w:space="0"/>
              <w:bottom w:val="single" w:color="auto" w:sz="2" w:space="0"/>
              <w:right w:val="single" w:color="auto" w:sz="2" w:space="0"/>
            </w:tcBorders>
            <w:vAlign w:val="center"/>
          </w:tcPr>
          <w:p w14:paraId="7ADD158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F0673E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A6F0F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5,839,838.38</w:t>
            </w:r>
          </w:p>
        </w:tc>
      </w:tr>
      <w:tr w14:paraId="13C64A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90BFD6A">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（3）企业合并增加</w:t>
            </w:r>
          </w:p>
        </w:tc>
        <w:tc>
          <w:tcPr>
            <w:tcW w:w="964" w:type="dxa"/>
            <w:tcBorders>
              <w:top w:val="single" w:color="auto" w:sz="2" w:space="0"/>
              <w:left w:val="single" w:color="auto" w:sz="2" w:space="0"/>
              <w:bottom w:val="single" w:color="auto" w:sz="2" w:space="0"/>
              <w:right w:val="single" w:color="auto" w:sz="2" w:space="0"/>
            </w:tcBorders>
            <w:vAlign w:val="center"/>
          </w:tcPr>
          <w:p w14:paraId="423D28B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DCBC33C">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402B30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FF2DD3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584C8E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21D901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1B825D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1D0135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C0BA9D4">
            <w:pPr>
              <w:spacing w:before="0" w:after="0" w:line="240" w:lineRule="exact"/>
              <w:jc w:val="right"/>
              <w:rPr>
                <w:rFonts w:ascii="宋体" w:hAnsi="宋体" w:eastAsia="宋体" w:cs="宋体"/>
                <w:color w:val="auto"/>
                <w:sz w:val="18"/>
                <w:szCs w:val="18"/>
              </w:rPr>
            </w:pPr>
          </w:p>
        </w:tc>
      </w:tr>
      <w:tr w14:paraId="627ECB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3A0CBD88">
            <w:pPr>
              <w:spacing w:before="0" w:after="0" w:line="240" w:lineRule="exact"/>
              <w:jc w:val="lef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440174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A41188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7C1249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B5F9F9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E2BE4D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C8650C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44706F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760A25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A0CB762">
            <w:pPr>
              <w:spacing w:before="0" w:after="0" w:line="240" w:lineRule="exact"/>
              <w:jc w:val="right"/>
              <w:rPr>
                <w:rFonts w:ascii="宋体" w:hAnsi="宋体" w:eastAsia="宋体" w:cs="宋体"/>
                <w:color w:val="auto"/>
                <w:sz w:val="18"/>
                <w:szCs w:val="18"/>
              </w:rPr>
            </w:pPr>
          </w:p>
        </w:tc>
      </w:tr>
      <w:tr w14:paraId="06AA99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30AE9CF">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3.本期减少金额</w:t>
            </w:r>
          </w:p>
        </w:tc>
        <w:tc>
          <w:tcPr>
            <w:tcW w:w="964" w:type="dxa"/>
            <w:tcBorders>
              <w:top w:val="single" w:color="auto" w:sz="2" w:space="0"/>
              <w:left w:val="single" w:color="auto" w:sz="2" w:space="0"/>
              <w:bottom w:val="single" w:color="auto" w:sz="2" w:space="0"/>
              <w:right w:val="single" w:color="auto" w:sz="2" w:space="0"/>
            </w:tcBorders>
            <w:vAlign w:val="center"/>
          </w:tcPr>
          <w:p w14:paraId="2D60571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EEFC3E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F652F4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7066B3C">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5F2B629">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1BBE73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58F98B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240ADD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8860246">
            <w:pPr>
              <w:spacing w:before="0" w:after="0" w:line="240" w:lineRule="exact"/>
              <w:jc w:val="right"/>
              <w:rPr>
                <w:rFonts w:ascii="宋体" w:hAnsi="宋体" w:eastAsia="宋体" w:cs="宋体"/>
                <w:color w:val="auto"/>
                <w:sz w:val="18"/>
                <w:szCs w:val="18"/>
              </w:rPr>
            </w:pPr>
          </w:p>
        </w:tc>
      </w:tr>
      <w:tr w14:paraId="1A2BAE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9778C15">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（1）处置</w:t>
            </w:r>
          </w:p>
        </w:tc>
        <w:tc>
          <w:tcPr>
            <w:tcW w:w="964" w:type="dxa"/>
            <w:tcBorders>
              <w:top w:val="single" w:color="auto" w:sz="2" w:space="0"/>
              <w:left w:val="single" w:color="auto" w:sz="2" w:space="0"/>
              <w:bottom w:val="single" w:color="auto" w:sz="2" w:space="0"/>
              <w:right w:val="single" w:color="auto" w:sz="2" w:space="0"/>
            </w:tcBorders>
            <w:vAlign w:val="center"/>
          </w:tcPr>
          <w:p w14:paraId="36BC7DA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11D8779">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EF1E84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D9F9D3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07EEE6C">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DE74FA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AED626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FC3F07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D14E9F9">
            <w:pPr>
              <w:spacing w:before="0" w:after="0" w:line="240" w:lineRule="exact"/>
              <w:jc w:val="right"/>
              <w:rPr>
                <w:rFonts w:ascii="宋体" w:hAnsi="宋体" w:eastAsia="宋体" w:cs="宋体"/>
                <w:color w:val="auto"/>
                <w:sz w:val="18"/>
                <w:szCs w:val="18"/>
              </w:rPr>
            </w:pPr>
          </w:p>
        </w:tc>
      </w:tr>
      <w:tr w14:paraId="0FF00E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5A9A05D3">
            <w:pPr>
              <w:spacing w:before="0" w:after="0" w:line="240" w:lineRule="exact"/>
              <w:jc w:val="lef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49D6AB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733E2A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469F91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FE3EED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450C31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E70684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352CA9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CA6CD3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2CEE5FF">
            <w:pPr>
              <w:spacing w:before="0" w:after="0" w:line="240" w:lineRule="exact"/>
              <w:jc w:val="right"/>
              <w:rPr>
                <w:rFonts w:ascii="宋体" w:hAnsi="宋体" w:eastAsia="宋体" w:cs="宋体"/>
                <w:color w:val="auto"/>
                <w:sz w:val="18"/>
                <w:szCs w:val="18"/>
              </w:rPr>
            </w:pPr>
          </w:p>
        </w:tc>
      </w:tr>
      <w:tr w14:paraId="12D053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C4FBB9B">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4.期末余额</w:t>
            </w:r>
          </w:p>
        </w:tc>
        <w:tc>
          <w:tcPr>
            <w:tcW w:w="964" w:type="dxa"/>
            <w:tcBorders>
              <w:top w:val="single" w:color="auto" w:sz="2" w:space="0"/>
              <w:left w:val="single" w:color="auto" w:sz="2" w:space="0"/>
              <w:bottom w:val="single" w:color="auto" w:sz="2" w:space="0"/>
              <w:right w:val="single" w:color="auto" w:sz="2" w:space="0"/>
            </w:tcBorders>
            <w:vAlign w:val="center"/>
          </w:tcPr>
          <w:p w14:paraId="308E0AF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421353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D997B8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49754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61,557,794.24</w:t>
            </w:r>
          </w:p>
        </w:tc>
        <w:tc>
          <w:tcPr>
            <w:tcW w:w="964" w:type="dxa"/>
            <w:tcBorders>
              <w:top w:val="single" w:color="auto" w:sz="2" w:space="0"/>
              <w:left w:val="single" w:color="auto" w:sz="2" w:space="0"/>
              <w:bottom w:val="single" w:color="auto" w:sz="2" w:space="0"/>
              <w:right w:val="single" w:color="auto" w:sz="2" w:space="0"/>
            </w:tcBorders>
            <w:vAlign w:val="center"/>
          </w:tcPr>
          <w:p w14:paraId="7C2DBE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790,955.30</w:t>
            </w:r>
          </w:p>
        </w:tc>
        <w:tc>
          <w:tcPr>
            <w:tcW w:w="964" w:type="dxa"/>
            <w:tcBorders>
              <w:top w:val="single" w:color="auto" w:sz="2" w:space="0"/>
              <w:left w:val="single" w:color="auto" w:sz="2" w:space="0"/>
              <w:bottom w:val="single" w:color="auto" w:sz="2" w:space="0"/>
              <w:right w:val="single" w:color="auto" w:sz="2" w:space="0"/>
            </w:tcBorders>
            <w:vAlign w:val="center"/>
          </w:tcPr>
          <w:p w14:paraId="32B248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368,958,717.26</w:t>
            </w:r>
          </w:p>
        </w:tc>
        <w:tc>
          <w:tcPr>
            <w:tcW w:w="964" w:type="dxa"/>
            <w:tcBorders>
              <w:top w:val="single" w:color="auto" w:sz="2" w:space="0"/>
              <w:left w:val="single" w:color="auto" w:sz="2" w:space="0"/>
              <w:bottom w:val="single" w:color="auto" w:sz="2" w:space="0"/>
              <w:right w:val="single" w:color="auto" w:sz="2" w:space="0"/>
            </w:tcBorders>
            <w:vAlign w:val="center"/>
          </w:tcPr>
          <w:p w14:paraId="5D4E05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5,118,900.53</w:t>
            </w:r>
          </w:p>
        </w:tc>
        <w:tc>
          <w:tcPr>
            <w:tcW w:w="964" w:type="dxa"/>
            <w:tcBorders>
              <w:top w:val="single" w:color="auto" w:sz="2" w:space="0"/>
              <w:left w:val="single" w:color="auto" w:sz="2" w:space="0"/>
              <w:bottom w:val="single" w:color="auto" w:sz="2" w:space="0"/>
              <w:right w:val="single" w:color="auto" w:sz="2" w:space="0"/>
            </w:tcBorders>
            <w:vAlign w:val="center"/>
          </w:tcPr>
          <w:p w14:paraId="7A858C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468,219.66</w:t>
            </w:r>
          </w:p>
        </w:tc>
        <w:tc>
          <w:tcPr>
            <w:tcW w:w="964" w:type="dxa"/>
            <w:tcBorders>
              <w:top w:val="single" w:color="auto" w:sz="2" w:space="0"/>
              <w:left w:val="single" w:color="auto" w:sz="2" w:space="0"/>
              <w:bottom w:val="single" w:color="auto" w:sz="2" w:space="0"/>
              <w:right w:val="single" w:color="auto" w:sz="2" w:space="0"/>
            </w:tcBorders>
            <w:vAlign w:val="center"/>
          </w:tcPr>
          <w:p w14:paraId="4BC48C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436,894,586.99</w:t>
            </w:r>
          </w:p>
        </w:tc>
      </w:tr>
      <w:tr w14:paraId="376662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ED57B2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二、累计摊销</w:t>
            </w:r>
          </w:p>
        </w:tc>
        <w:tc>
          <w:tcPr>
            <w:tcW w:w="964" w:type="dxa"/>
            <w:tcBorders>
              <w:top w:val="single" w:color="auto" w:sz="2" w:space="0"/>
              <w:left w:val="single" w:color="auto" w:sz="2" w:space="0"/>
              <w:bottom w:val="single" w:color="auto" w:sz="2" w:space="0"/>
              <w:right w:val="single" w:color="auto" w:sz="2" w:space="0"/>
            </w:tcBorders>
            <w:vAlign w:val="center"/>
          </w:tcPr>
          <w:p w14:paraId="3BA375F9">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DD4E30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52A098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F3FC1D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0081C2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3817B9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6C44DD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BD3EF1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AF50DB3">
            <w:pPr>
              <w:spacing w:before="0" w:after="0" w:line="240" w:lineRule="exact"/>
              <w:jc w:val="right"/>
              <w:rPr>
                <w:rFonts w:ascii="宋体" w:hAnsi="宋体" w:eastAsia="宋体" w:cs="宋体"/>
                <w:color w:val="auto"/>
                <w:sz w:val="18"/>
                <w:szCs w:val="18"/>
              </w:rPr>
            </w:pPr>
          </w:p>
        </w:tc>
      </w:tr>
      <w:tr w14:paraId="173B1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2474097">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1.期初余额</w:t>
            </w:r>
          </w:p>
        </w:tc>
        <w:tc>
          <w:tcPr>
            <w:tcW w:w="964" w:type="dxa"/>
            <w:tcBorders>
              <w:top w:val="single" w:color="auto" w:sz="2" w:space="0"/>
              <w:left w:val="single" w:color="auto" w:sz="2" w:space="0"/>
              <w:bottom w:val="single" w:color="auto" w:sz="2" w:space="0"/>
              <w:right w:val="single" w:color="auto" w:sz="2" w:space="0"/>
            </w:tcBorders>
            <w:vAlign w:val="center"/>
          </w:tcPr>
          <w:p w14:paraId="59BF4EB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C413B1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77D0AA9">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5A5DE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11,478,112.51</w:t>
            </w:r>
          </w:p>
        </w:tc>
        <w:tc>
          <w:tcPr>
            <w:tcW w:w="964" w:type="dxa"/>
            <w:tcBorders>
              <w:top w:val="single" w:color="auto" w:sz="2" w:space="0"/>
              <w:left w:val="single" w:color="auto" w:sz="2" w:space="0"/>
              <w:bottom w:val="single" w:color="auto" w:sz="2" w:space="0"/>
              <w:right w:val="single" w:color="auto" w:sz="2" w:space="0"/>
            </w:tcBorders>
            <w:vAlign w:val="center"/>
          </w:tcPr>
          <w:p w14:paraId="4E9A6AA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663,015.27</w:t>
            </w:r>
          </w:p>
        </w:tc>
        <w:tc>
          <w:tcPr>
            <w:tcW w:w="964" w:type="dxa"/>
            <w:tcBorders>
              <w:top w:val="single" w:color="auto" w:sz="2" w:space="0"/>
              <w:left w:val="single" w:color="auto" w:sz="2" w:space="0"/>
              <w:bottom w:val="single" w:color="auto" w:sz="2" w:space="0"/>
              <w:right w:val="single" w:color="auto" w:sz="2" w:space="0"/>
            </w:tcBorders>
            <w:vAlign w:val="center"/>
          </w:tcPr>
          <w:p w14:paraId="4519EA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150,856,337.43</w:t>
            </w:r>
          </w:p>
        </w:tc>
        <w:tc>
          <w:tcPr>
            <w:tcW w:w="964" w:type="dxa"/>
            <w:tcBorders>
              <w:top w:val="single" w:color="auto" w:sz="2" w:space="0"/>
              <w:left w:val="single" w:color="auto" w:sz="2" w:space="0"/>
              <w:bottom w:val="single" w:color="auto" w:sz="2" w:space="0"/>
              <w:right w:val="single" w:color="auto" w:sz="2" w:space="0"/>
            </w:tcBorders>
            <w:vAlign w:val="center"/>
          </w:tcPr>
          <w:p w14:paraId="1CD9C11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2,911,760.60</w:t>
            </w:r>
          </w:p>
        </w:tc>
        <w:tc>
          <w:tcPr>
            <w:tcW w:w="964" w:type="dxa"/>
            <w:tcBorders>
              <w:top w:val="single" w:color="auto" w:sz="2" w:space="0"/>
              <w:left w:val="single" w:color="auto" w:sz="2" w:space="0"/>
              <w:bottom w:val="single" w:color="auto" w:sz="2" w:space="0"/>
              <w:right w:val="single" w:color="auto" w:sz="2" w:space="0"/>
            </w:tcBorders>
            <w:vAlign w:val="center"/>
          </w:tcPr>
          <w:p w14:paraId="474AB6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229,406.82</w:t>
            </w:r>
          </w:p>
        </w:tc>
        <w:tc>
          <w:tcPr>
            <w:tcW w:w="964" w:type="dxa"/>
            <w:tcBorders>
              <w:top w:val="single" w:color="auto" w:sz="2" w:space="0"/>
              <w:left w:val="single" w:color="auto" w:sz="2" w:space="0"/>
              <w:bottom w:val="single" w:color="auto" w:sz="2" w:space="0"/>
              <w:right w:val="single" w:color="auto" w:sz="2" w:space="0"/>
            </w:tcBorders>
            <w:vAlign w:val="center"/>
          </w:tcPr>
          <w:p w14:paraId="00328BA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166,138,632.63</w:t>
            </w:r>
          </w:p>
        </w:tc>
      </w:tr>
      <w:tr w14:paraId="4D81AB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6453A6D">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2.本期增加金额</w:t>
            </w:r>
          </w:p>
        </w:tc>
        <w:tc>
          <w:tcPr>
            <w:tcW w:w="964" w:type="dxa"/>
            <w:tcBorders>
              <w:top w:val="single" w:color="auto" w:sz="2" w:space="0"/>
              <w:left w:val="single" w:color="auto" w:sz="2" w:space="0"/>
              <w:bottom w:val="single" w:color="auto" w:sz="2" w:space="0"/>
              <w:right w:val="single" w:color="auto" w:sz="2" w:space="0"/>
            </w:tcBorders>
            <w:vAlign w:val="center"/>
          </w:tcPr>
          <w:p w14:paraId="6F56356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3BB279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0E2565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67FAC9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626,665.92</w:t>
            </w:r>
          </w:p>
        </w:tc>
        <w:tc>
          <w:tcPr>
            <w:tcW w:w="964" w:type="dxa"/>
            <w:tcBorders>
              <w:top w:val="single" w:color="auto" w:sz="2" w:space="0"/>
              <w:left w:val="single" w:color="auto" w:sz="2" w:space="0"/>
              <w:bottom w:val="single" w:color="auto" w:sz="2" w:space="0"/>
              <w:right w:val="single" w:color="auto" w:sz="2" w:space="0"/>
            </w:tcBorders>
            <w:vAlign w:val="center"/>
          </w:tcPr>
          <w:p w14:paraId="16F9D7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42,646.68</w:t>
            </w:r>
          </w:p>
        </w:tc>
        <w:tc>
          <w:tcPr>
            <w:tcW w:w="964" w:type="dxa"/>
            <w:tcBorders>
              <w:top w:val="single" w:color="auto" w:sz="2" w:space="0"/>
              <w:left w:val="single" w:color="auto" w:sz="2" w:space="0"/>
              <w:bottom w:val="single" w:color="auto" w:sz="2" w:space="0"/>
              <w:right w:val="single" w:color="auto" w:sz="2" w:space="0"/>
            </w:tcBorders>
            <w:vAlign w:val="center"/>
          </w:tcPr>
          <w:p w14:paraId="3E8BEE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20,484,178.35</w:t>
            </w:r>
          </w:p>
        </w:tc>
        <w:tc>
          <w:tcPr>
            <w:tcW w:w="964" w:type="dxa"/>
            <w:tcBorders>
              <w:top w:val="single" w:color="auto" w:sz="2" w:space="0"/>
              <w:left w:val="single" w:color="auto" w:sz="2" w:space="0"/>
              <w:bottom w:val="single" w:color="auto" w:sz="2" w:space="0"/>
              <w:right w:val="single" w:color="auto" w:sz="2" w:space="0"/>
            </w:tcBorders>
            <w:vAlign w:val="center"/>
          </w:tcPr>
          <w:p w14:paraId="28A9995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251,251.98</w:t>
            </w:r>
          </w:p>
        </w:tc>
        <w:tc>
          <w:tcPr>
            <w:tcW w:w="964" w:type="dxa"/>
            <w:tcBorders>
              <w:top w:val="single" w:color="auto" w:sz="2" w:space="0"/>
              <w:left w:val="single" w:color="auto" w:sz="2" w:space="0"/>
              <w:bottom w:val="single" w:color="auto" w:sz="2" w:space="0"/>
              <w:right w:val="single" w:color="auto" w:sz="2" w:space="0"/>
            </w:tcBorders>
            <w:vAlign w:val="center"/>
          </w:tcPr>
          <w:p w14:paraId="62A2261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46,821.96</w:t>
            </w:r>
          </w:p>
        </w:tc>
        <w:tc>
          <w:tcPr>
            <w:tcW w:w="964" w:type="dxa"/>
            <w:tcBorders>
              <w:top w:val="single" w:color="auto" w:sz="2" w:space="0"/>
              <w:left w:val="single" w:color="auto" w:sz="2" w:space="0"/>
              <w:bottom w:val="single" w:color="auto" w:sz="2" w:space="0"/>
              <w:right w:val="single" w:color="auto" w:sz="2" w:space="0"/>
            </w:tcBorders>
            <w:vAlign w:val="center"/>
          </w:tcPr>
          <w:p w14:paraId="29BCD9C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21,451,564.89</w:t>
            </w:r>
          </w:p>
        </w:tc>
      </w:tr>
      <w:tr w14:paraId="050928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3DA50B6">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（1）计提</w:t>
            </w:r>
          </w:p>
        </w:tc>
        <w:tc>
          <w:tcPr>
            <w:tcW w:w="964" w:type="dxa"/>
            <w:tcBorders>
              <w:top w:val="single" w:color="auto" w:sz="2" w:space="0"/>
              <w:left w:val="single" w:color="auto" w:sz="2" w:space="0"/>
              <w:bottom w:val="single" w:color="auto" w:sz="2" w:space="0"/>
              <w:right w:val="single" w:color="auto" w:sz="2" w:space="0"/>
            </w:tcBorders>
            <w:vAlign w:val="center"/>
          </w:tcPr>
          <w:p w14:paraId="4539CAD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A0AD0A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D159D19">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C8FED9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626,665.92</w:t>
            </w:r>
          </w:p>
        </w:tc>
        <w:tc>
          <w:tcPr>
            <w:tcW w:w="964" w:type="dxa"/>
            <w:tcBorders>
              <w:top w:val="single" w:color="auto" w:sz="2" w:space="0"/>
              <w:left w:val="single" w:color="auto" w:sz="2" w:space="0"/>
              <w:bottom w:val="single" w:color="auto" w:sz="2" w:space="0"/>
              <w:right w:val="single" w:color="auto" w:sz="2" w:space="0"/>
            </w:tcBorders>
            <w:vAlign w:val="center"/>
          </w:tcPr>
          <w:p w14:paraId="6639FAD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42,646.68</w:t>
            </w:r>
          </w:p>
        </w:tc>
        <w:tc>
          <w:tcPr>
            <w:tcW w:w="964" w:type="dxa"/>
            <w:tcBorders>
              <w:top w:val="single" w:color="auto" w:sz="2" w:space="0"/>
              <w:left w:val="single" w:color="auto" w:sz="2" w:space="0"/>
              <w:bottom w:val="single" w:color="auto" w:sz="2" w:space="0"/>
              <w:right w:val="single" w:color="auto" w:sz="2" w:space="0"/>
            </w:tcBorders>
            <w:vAlign w:val="center"/>
          </w:tcPr>
          <w:p w14:paraId="337908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20,484,178.35</w:t>
            </w:r>
          </w:p>
        </w:tc>
        <w:tc>
          <w:tcPr>
            <w:tcW w:w="964" w:type="dxa"/>
            <w:tcBorders>
              <w:top w:val="single" w:color="auto" w:sz="2" w:space="0"/>
              <w:left w:val="single" w:color="auto" w:sz="2" w:space="0"/>
              <w:bottom w:val="single" w:color="auto" w:sz="2" w:space="0"/>
              <w:right w:val="single" w:color="auto" w:sz="2" w:space="0"/>
            </w:tcBorders>
            <w:vAlign w:val="center"/>
          </w:tcPr>
          <w:p w14:paraId="790BC07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251,251.98</w:t>
            </w:r>
          </w:p>
        </w:tc>
        <w:tc>
          <w:tcPr>
            <w:tcW w:w="964" w:type="dxa"/>
            <w:tcBorders>
              <w:top w:val="single" w:color="auto" w:sz="2" w:space="0"/>
              <w:left w:val="single" w:color="auto" w:sz="2" w:space="0"/>
              <w:bottom w:val="single" w:color="auto" w:sz="2" w:space="0"/>
              <w:right w:val="single" w:color="auto" w:sz="2" w:space="0"/>
            </w:tcBorders>
            <w:vAlign w:val="center"/>
          </w:tcPr>
          <w:p w14:paraId="519ACC9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46,821.96</w:t>
            </w:r>
          </w:p>
        </w:tc>
        <w:tc>
          <w:tcPr>
            <w:tcW w:w="964" w:type="dxa"/>
            <w:tcBorders>
              <w:top w:val="single" w:color="auto" w:sz="2" w:space="0"/>
              <w:left w:val="single" w:color="auto" w:sz="2" w:space="0"/>
              <w:bottom w:val="single" w:color="auto" w:sz="2" w:space="0"/>
              <w:right w:val="single" w:color="auto" w:sz="2" w:space="0"/>
            </w:tcBorders>
            <w:vAlign w:val="center"/>
          </w:tcPr>
          <w:p w14:paraId="362F36B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21,451,564.89</w:t>
            </w:r>
          </w:p>
        </w:tc>
      </w:tr>
      <w:tr w14:paraId="1F99FC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35757EAA">
            <w:pPr>
              <w:spacing w:before="0" w:after="0" w:line="240" w:lineRule="exact"/>
              <w:jc w:val="lef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335906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A6634D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AF4147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A76526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8887EC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933DF8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D389AA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E3AE43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418677D">
            <w:pPr>
              <w:spacing w:before="0" w:after="0" w:line="240" w:lineRule="exact"/>
              <w:jc w:val="right"/>
              <w:rPr>
                <w:rFonts w:ascii="宋体" w:hAnsi="宋体" w:eastAsia="宋体" w:cs="宋体"/>
                <w:color w:val="auto"/>
                <w:sz w:val="18"/>
                <w:szCs w:val="18"/>
              </w:rPr>
            </w:pPr>
          </w:p>
        </w:tc>
      </w:tr>
      <w:tr w14:paraId="68DAAB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587D56B">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3.本期减少金额</w:t>
            </w:r>
          </w:p>
        </w:tc>
        <w:tc>
          <w:tcPr>
            <w:tcW w:w="964" w:type="dxa"/>
            <w:tcBorders>
              <w:top w:val="single" w:color="auto" w:sz="2" w:space="0"/>
              <w:left w:val="single" w:color="auto" w:sz="2" w:space="0"/>
              <w:bottom w:val="single" w:color="auto" w:sz="2" w:space="0"/>
              <w:right w:val="single" w:color="auto" w:sz="2" w:space="0"/>
            </w:tcBorders>
            <w:vAlign w:val="center"/>
          </w:tcPr>
          <w:p w14:paraId="73EBA0D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DD3B85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FCAA909">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DC09E1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81BFAD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E158269">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206A48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F0A0A69">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B8F47E8">
            <w:pPr>
              <w:spacing w:before="0" w:after="0" w:line="240" w:lineRule="exact"/>
              <w:jc w:val="right"/>
              <w:rPr>
                <w:rFonts w:ascii="宋体" w:hAnsi="宋体" w:eastAsia="宋体" w:cs="宋体"/>
                <w:color w:val="auto"/>
                <w:sz w:val="18"/>
                <w:szCs w:val="18"/>
              </w:rPr>
            </w:pPr>
          </w:p>
        </w:tc>
      </w:tr>
      <w:tr w14:paraId="50A219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87431BE">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（1）处置</w:t>
            </w:r>
          </w:p>
        </w:tc>
        <w:tc>
          <w:tcPr>
            <w:tcW w:w="964" w:type="dxa"/>
            <w:tcBorders>
              <w:top w:val="single" w:color="auto" w:sz="2" w:space="0"/>
              <w:left w:val="single" w:color="auto" w:sz="2" w:space="0"/>
              <w:bottom w:val="single" w:color="auto" w:sz="2" w:space="0"/>
              <w:right w:val="single" w:color="auto" w:sz="2" w:space="0"/>
            </w:tcBorders>
            <w:vAlign w:val="center"/>
          </w:tcPr>
          <w:p w14:paraId="3C04CF4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7A58FB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D4848F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167216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E6B5CC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364CCFC">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C0DCACC">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2D0FC6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41F04AE">
            <w:pPr>
              <w:spacing w:before="0" w:after="0" w:line="240" w:lineRule="exact"/>
              <w:jc w:val="right"/>
              <w:rPr>
                <w:rFonts w:ascii="宋体" w:hAnsi="宋体" w:eastAsia="宋体" w:cs="宋体"/>
                <w:color w:val="auto"/>
                <w:sz w:val="18"/>
                <w:szCs w:val="18"/>
              </w:rPr>
            </w:pPr>
          </w:p>
        </w:tc>
      </w:tr>
      <w:tr w14:paraId="4947D9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5D158513">
            <w:pPr>
              <w:spacing w:before="0" w:after="0" w:line="240" w:lineRule="exact"/>
              <w:jc w:val="lef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9EC71F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5277D6C">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EE4219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4A7DC5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A963A5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B91DED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76D93E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20745B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9717DA1">
            <w:pPr>
              <w:spacing w:before="0" w:after="0" w:line="240" w:lineRule="exact"/>
              <w:jc w:val="right"/>
              <w:rPr>
                <w:rFonts w:ascii="宋体" w:hAnsi="宋体" w:eastAsia="宋体" w:cs="宋体"/>
                <w:color w:val="auto"/>
                <w:sz w:val="18"/>
                <w:szCs w:val="18"/>
              </w:rPr>
            </w:pPr>
          </w:p>
        </w:tc>
      </w:tr>
      <w:tr w14:paraId="280E3E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2A17A53">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4.期末余额</w:t>
            </w:r>
          </w:p>
        </w:tc>
        <w:tc>
          <w:tcPr>
            <w:tcW w:w="964" w:type="dxa"/>
            <w:tcBorders>
              <w:top w:val="single" w:color="auto" w:sz="2" w:space="0"/>
              <w:left w:val="single" w:color="auto" w:sz="2" w:space="0"/>
              <w:bottom w:val="single" w:color="auto" w:sz="2" w:space="0"/>
              <w:right w:val="single" w:color="auto" w:sz="2" w:space="0"/>
            </w:tcBorders>
            <w:vAlign w:val="center"/>
          </w:tcPr>
          <w:p w14:paraId="246E2CB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767CF6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B516B4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9B03F0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12,104,778.43</w:t>
            </w:r>
          </w:p>
        </w:tc>
        <w:tc>
          <w:tcPr>
            <w:tcW w:w="964" w:type="dxa"/>
            <w:tcBorders>
              <w:top w:val="single" w:color="auto" w:sz="2" w:space="0"/>
              <w:left w:val="single" w:color="auto" w:sz="2" w:space="0"/>
              <w:bottom w:val="single" w:color="auto" w:sz="2" w:space="0"/>
              <w:right w:val="single" w:color="auto" w:sz="2" w:space="0"/>
            </w:tcBorders>
            <w:vAlign w:val="center"/>
          </w:tcPr>
          <w:p w14:paraId="788363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705,661.95</w:t>
            </w:r>
          </w:p>
        </w:tc>
        <w:tc>
          <w:tcPr>
            <w:tcW w:w="964" w:type="dxa"/>
            <w:tcBorders>
              <w:top w:val="single" w:color="auto" w:sz="2" w:space="0"/>
              <w:left w:val="single" w:color="auto" w:sz="2" w:space="0"/>
              <w:bottom w:val="single" w:color="auto" w:sz="2" w:space="0"/>
              <w:right w:val="single" w:color="auto" w:sz="2" w:space="0"/>
            </w:tcBorders>
            <w:vAlign w:val="center"/>
          </w:tcPr>
          <w:p w14:paraId="65B7AD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171,340,515.78</w:t>
            </w:r>
          </w:p>
        </w:tc>
        <w:tc>
          <w:tcPr>
            <w:tcW w:w="964" w:type="dxa"/>
            <w:tcBorders>
              <w:top w:val="single" w:color="auto" w:sz="2" w:space="0"/>
              <w:left w:val="single" w:color="auto" w:sz="2" w:space="0"/>
              <w:bottom w:val="single" w:color="auto" w:sz="2" w:space="0"/>
              <w:right w:val="single" w:color="auto" w:sz="2" w:space="0"/>
            </w:tcBorders>
            <w:vAlign w:val="center"/>
          </w:tcPr>
          <w:p w14:paraId="0E7832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3,163,012.58</w:t>
            </w:r>
          </w:p>
        </w:tc>
        <w:tc>
          <w:tcPr>
            <w:tcW w:w="964" w:type="dxa"/>
            <w:tcBorders>
              <w:top w:val="single" w:color="auto" w:sz="2" w:space="0"/>
              <w:left w:val="single" w:color="auto" w:sz="2" w:space="0"/>
              <w:bottom w:val="single" w:color="auto" w:sz="2" w:space="0"/>
              <w:right w:val="single" w:color="auto" w:sz="2" w:space="0"/>
            </w:tcBorders>
            <w:vAlign w:val="center"/>
          </w:tcPr>
          <w:p w14:paraId="7F7D19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276,228.78</w:t>
            </w:r>
          </w:p>
        </w:tc>
        <w:tc>
          <w:tcPr>
            <w:tcW w:w="964" w:type="dxa"/>
            <w:tcBorders>
              <w:top w:val="single" w:color="auto" w:sz="2" w:space="0"/>
              <w:left w:val="single" w:color="auto" w:sz="2" w:space="0"/>
              <w:bottom w:val="single" w:color="auto" w:sz="2" w:space="0"/>
              <w:right w:val="single" w:color="auto" w:sz="2" w:space="0"/>
            </w:tcBorders>
            <w:vAlign w:val="center"/>
          </w:tcPr>
          <w:p w14:paraId="6AA9491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187,590,197.52</w:t>
            </w:r>
          </w:p>
        </w:tc>
      </w:tr>
      <w:tr w14:paraId="48518C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CA05FF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三、减值准备</w:t>
            </w:r>
          </w:p>
        </w:tc>
        <w:tc>
          <w:tcPr>
            <w:tcW w:w="964" w:type="dxa"/>
            <w:tcBorders>
              <w:top w:val="single" w:color="auto" w:sz="2" w:space="0"/>
              <w:left w:val="single" w:color="auto" w:sz="2" w:space="0"/>
              <w:bottom w:val="single" w:color="auto" w:sz="2" w:space="0"/>
              <w:right w:val="single" w:color="auto" w:sz="2" w:space="0"/>
            </w:tcBorders>
            <w:vAlign w:val="center"/>
          </w:tcPr>
          <w:p w14:paraId="73ADAFA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05683E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324959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1A7AF6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9306CC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4B0E59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D88360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4B27B0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E052A41">
            <w:pPr>
              <w:spacing w:before="0" w:after="0" w:line="240" w:lineRule="exact"/>
              <w:jc w:val="right"/>
              <w:rPr>
                <w:rFonts w:ascii="宋体" w:hAnsi="宋体" w:eastAsia="宋体" w:cs="宋体"/>
                <w:color w:val="auto"/>
                <w:sz w:val="18"/>
                <w:szCs w:val="18"/>
              </w:rPr>
            </w:pPr>
          </w:p>
        </w:tc>
      </w:tr>
      <w:tr w14:paraId="543043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366F906">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1.期初余额</w:t>
            </w:r>
          </w:p>
        </w:tc>
        <w:tc>
          <w:tcPr>
            <w:tcW w:w="964" w:type="dxa"/>
            <w:tcBorders>
              <w:top w:val="single" w:color="auto" w:sz="2" w:space="0"/>
              <w:left w:val="single" w:color="auto" w:sz="2" w:space="0"/>
              <w:bottom w:val="single" w:color="auto" w:sz="2" w:space="0"/>
              <w:right w:val="single" w:color="auto" w:sz="2" w:space="0"/>
            </w:tcBorders>
            <w:vAlign w:val="center"/>
          </w:tcPr>
          <w:p w14:paraId="24DDCA0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8D32DD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6D78EC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B2EB4A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FF22C0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6F2D2E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13,260,901.06</w:t>
            </w:r>
          </w:p>
        </w:tc>
        <w:tc>
          <w:tcPr>
            <w:tcW w:w="964" w:type="dxa"/>
            <w:tcBorders>
              <w:top w:val="single" w:color="auto" w:sz="2" w:space="0"/>
              <w:left w:val="single" w:color="auto" w:sz="2" w:space="0"/>
              <w:bottom w:val="single" w:color="auto" w:sz="2" w:space="0"/>
              <w:right w:val="single" w:color="auto" w:sz="2" w:space="0"/>
            </w:tcBorders>
            <w:vAlign w:val="center"/>
          </w:tcPr>
          <w:p w14:paraId="6F78169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1EE486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D1CFB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13,260,901.06</w:t>
            </w:r>
          </w:p>
        </w:tc>
      </w:tr>
      <w:tr w14:paraId="0206E5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491F26C">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2.本期增加金额</w:t>
            </w:r>
          </w:p>
        </w:tc>
        <w:tc>
          <w:tcPr>
            <w:tcW w:w="964" w:type="dxa"/>
            <w:tcBorders>
              <w:top w:val="single" w:color="auto" w:sz="2" w:space="0"/>
              <w:left w:val="single" w:color="auto" w:sz="2" w:space="0"/>
              <w:bottom w:val="single" w:color="auto" w:sz="2" w:space="0"/>
              <w:right w:val="single" w:color="auto" w:sz="2" w:space="0"/>
            </w:tcBorders>
            <w:vAlign w:val="center"/>
          </w:tcPr>
          <w:p w14:paraId="3B802D9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1D8B4C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D532BE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B23BD1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3F1462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994AFB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216BBD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64691F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5542337">
            <w:pPr>
              <w:spacing w:before="0" w:after="0" w:line="240" w:lineRule="exact"/>
              <w:jc w:val="right"/>
              <w:rPr>
                <w:rFonts w:ascii="宋体" w:hAnsi="宋体" w:eastAsia="宋体" w:cs="宋体"/>
                <w:color w:val="auto"/>
                <w:sz w:val="18"/>
                <w:szCs w:val="18"/>
              </w:rPr>
            </w:pPr>
          </w:p>
        </w:tc>
      </w:tr>
      <w:tr w14:paraId="4C5D40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0101C84">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（1）计提</w:t>
            </w:r>
          </w:p>
        </w:tc>
        <w:tc>
          <w:tcPr>
            <w:tcW w:w="964" w:type="dxa"/>
            <w:tcBorders>
              <w:top w:val="single" w:color="auto" w:sz="2" w:space="0"/>
              <w:left w:val="single" w:color="auto" w:sz="2" w:space="0"/>
              <w:bottom w:val="single" w:color="auto" w:sz="2" w:space="0"/>
              <w:right w:val="single" w:color="auto" w:sz="2" w:space="0"/>
            </w:tcBorders>
            <w:vAlign w:val="center"/>
          </w:tcPr>
          <w:p w14:paraId="64D3D6C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CF0BD0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966726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52131E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DA9B57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22098E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07165A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501BDE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70D74DC">
            <w:pPr>
              <w:spacing w:before="0" w:after="0" w:line="240" w:lineRule="exact"/>
              <w:jc w:val="right"/>
              <w:rPr>
                <w:rFonts w:ascii="宋体" w:hAnsi="宋体" w:eastAsia="宋体" w:cs="宋体"/>
                <w:color w:val="auto"/>
                <w:sz w:val="18"/>
                <w:szCs w:val="18"/>
              </w:rPr>
            </w:pPr>
          </w:p>
        </w:tc>
      </w:tr>
      <w:tr w14:paraId="70CBE1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2A4FDFDC">
            <w:pPr>
              <w:spacing w:before="0" w:after="0" w:line="240" w:lineRule="exact"/>
              <w:jc w:val="lef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673681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E8F5DD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73BF44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B995AE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C0B975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64FE9B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D8223D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86F153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C5817E3">
            <w:pPr>
              <w:spacing w:before="0" w:after="0" w:line="240" w:lineRule="exact"/>
              <w:jc w:val="right"/>
              <w:rPr>
                <w:rFonts w:ascii="宋体" w:hAnsi="宋体" w:eastAsia="宋体" w:cs="宋体"/>
                <w:color w:val="auto"/>
                <w:sz w:val="18"/>
                <w:szCs w:val="18"/>
              </w:rPr>
            </w:pPr>
          </w:p>
        </w:tc>
      </w:tr>
      <w:tr w14:paraId="1A0624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547C031D">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3.本期减少金额</w:t>
            </w:r>
          </w:p>
        </w:tc>
        <w:tc>
          <w:tcPr>
            <w:tcW w:w="964" w:type="dxa"/>
            <w:tcBorders>
              <w:top w:val="single" w:color="auto" w:sz="2" w:space="0"/>
              <w:left w:val="single" w:color="auto" w:sz="2" w:space="0"/>
              <w:bottom w:val="single" w:color="auto" w:sz="2" w:space="0"/>
              <w:right w:val="single" w:color="auto" w:sz="2" w:space="0"/>
            </w:tcBorders>
            <w:vAlign w:val="center"/>
          </w:tcPr>
          <w:p w14:paraId="7787FEF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88035D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EFF9D1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99CF66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F15023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47EB47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EBE182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30120E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D65DC56">
            <w:pPr>
              <w:spacing w:before="0" w:after="0" w:line="240" w:lineRule="exact"/>
              <w:jc w:val="right"/>
              <w:rPr>
                <w:rFonts w:ascii="宋体" w:hAnsi="宋体" w:eastAsia="宋体" w:cs="宋体"/>
                <w:color w:val="auto"/>
                <w:sz w:val="18"/>
                <w:szCs w:val="18"/>
              </w:rPr>
            </w:pPr>
          </w:p>
        </w:tc>
      </w:tr>
      <w:tr w14:paraId="3789E7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DAA4132">
            <w:pPr>
              <w:spacing w:before="40" w:after="40" w:line="240" w:lineRule="exact"/>
              <w:ind w:firstLine="720" w:firstLineChars="400"/>
              <w:jc w:val="left"/>
              <w:rPr>
                <w:rFonts w:ascii="宋体" w:hAnsi="宋体" w:eastAsia="宋体" w:cs="宋体"/>
                <w:color w:val="auto"/>
                <w:sz w:val="18"/>
                <w:szCs w:val="18"/>
              </w:rPr>
            </w:pPr>
            <w:r>
              <w:rPr>
                <w:rFonts w:ascii="宋体" w:hAnsi="宋体" w:eastAsia="宋体" w:cs="宋体"/>
                <w:color w:val="auto"/>
                <w:sz w:val="18"/>
                <w:szCs w:val="18"/>
              </w:rPr>
              <w:t>（1）处置</w:t>
            </w:r>
          </w:p>
        </w:tc>
        <w:tc>
          <w:tcPr>
            <w:tcW w:w="964" w:type="dxa"/>
            <w:tcBorders>
              <w:top w:val="single" w:color="auto" w:sz="2" w:space="0"/>
              <w:left w:val="single" w:color="auto" w:sz="2" w:space="0"/>
              <w:bottom w:val="single" w:color="auto" w:sz="2" w:space="0"/>
              <w:right w:val="single" w:color="auto" w:sz="2" w:space="0"/>
            </w:tcBorders>
            <w:vAlign w:val="center"/>
          </w:tcPr>
          <w:p w14:paraId="7163F7E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289162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3E58B0C">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C9E119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76F5EF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C7E667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6792D9C">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03368DF">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1BE5D27">
            <w:pPr>
              <w:spacing w:before="0" w:after="0" w:line="240" w:lineRule="exact"/>
              <w:jc w:val="right"/>
              <w:rPr>
                <w:rFonts w:ascii="宋体" w:hAnsi="宋体" w:eastAsia="宋体" w:cs="宋体"/>
                <w:color w:val="auto"/>
                <w:sz w:val="18"/>
                <w:szCs w:val="18"/>
              </w:rPr>
            </w:pPr>
          </w:p>
        </w:tc>
      </w:tr>
      <w:tr w14:paraId="1A200C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vAlign w:val="center"/>
          </w:tcPr>
          <w:p w14:paraId="31EEEE1E">
            <w:pPr>
              <w:spacing w:before="0" w:after="0" w:line="240" w:lineRule="exact"/>
              <w:jc w:val="lef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E6EA80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C05FCE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A666344">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16C146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C19EBF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226D7E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AC8D5B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4530E9A">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06AD06A">
            <w:pPr>
              <w:spacing w:before="0" w:after="0" w:line="240" w:lineRule="exact"/>
              <w:jc w:val="right"/>
              <w:rPr>
                <w:rFonts w:ascii="宋体" w:hAnsi="宋体" w:eastAsia="宋体" w:cs="宋体"/>
                <w:color w:val="auto"/>
                <w:sz w:val="18"/>
                <w:szCs w:val="18"/>
              </w:rPr>
            </w:pPr>
          </w:p>
        </w:tc>
      </w:tr>
      <w:tr w14:paraId="151E7E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B8E9DDA">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4.期末余额</w:t>
            </w:r>
          </w:p>
        </w:tc>
        <w:tc>
          <w:tcPr>
            <w:tcW w:w="964" w:type="dxa"/>
            <w:tcBorders>
              <w:top w:val="single" w:color="auto" w:sz="2" w:space="0"/>
              <w:left w:val="single" w:color="auto" w:sz="2" w:space="0"/>
              <w:bottom w:val="single" w:color="auto" w:sz="2" w:space="0"/>
              <w:right w:val="single" w:color="auto" w:sz="2" w:space="0"/>
            </w:tcBorders>
            <w:vAlign w:val="center"/>
          </w:tcPr>
          <w:p w14:paraId="6E7F88C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BA3FC6D">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D467F6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B90070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9DCE96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772721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13,260,901.06</w:t>
            </w:r>
          </w:p>
        </w:tc>
        <w:tc>
          <w:tcPr>
            <w:tcW w:w="964" w:type="dxa"/>
            <w:tcBorders>
              <w:top w:val="single" w:color="auto" w:sz="2" w:space="0"/>
              <w:left w:val="single" w:color="auto" w:sz="2" w:space="0"/>
              <w:bottom w:val="single" w:color="auto" w:sz="2" w:space="0"/>
              <w:right w:val="single" w:color="auto" w:sz="2" w:space="0"/>
            </w:tcBorders>
            <w:vAlign w:val="center"/>
          </w:tcPr>
          <w:p w14:paraId="07C9902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7D292D33">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C2BE16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13,260,901.06</w:t>
            </w:r>
          </w:p>
        </w:tc>
      </w:tr>
      <w:tr w14:paraId="500E5F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9564D1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四、账面价值</w:t>
            </w:r>
          </w:p>
        </w:tc>
        <w:tc>
          <w:tcPr>
            <w:tcW w:w="964" w:type="dxa"/>
            <w:tcBorders>
              <w:top w:val="single" w:color="auto" w:sz="2" w:space="0"/>
              <w:left w:val="single" w:color="auto" w:sz="2" w:space="0"/>
              <w:bottom w:val="single" w:color="auto" w:sz="2" w:space="0"/>
              <w:right w:val="single" w:color="auto" w:sz="2" w:space="0"/>
            </w:tcBorders>
            <w:vAlign w:val="center"/>
          </w:tcPr>
          <w:p w14:paraId="52A0CDD6">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1CE453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71B6742">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369DBAD0">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A6943A7">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6335ADB">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0116FBA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60C3B43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CA1D5C0">
            <w:pPr>
              <w:spacing w:before="0" w:after="0" w:line="240" w:lineRule="exact"/>
              <w:jc w:val="right"/>
              <w:rPr>
                <w:rFonts w:ascii="宋体" w:hAnsi="宋体" w:eastAsia="宋体" w:cs="宋体"/>
                <w:color w:val="auto"/>
                <w:sz w:val="18"/>
                <w:szCs w:val="18"/>
              </w:rPr>
            </w:pPr>
          </w:p>
        </w:tc>
      </w:tr>
      <w:tr w14:paraId="1AFD67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5DEFD49">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1.期末账面价值</w:t>
            </w:r>
          </w:p>
        </w:tc>
        <w:tc>
          <w:tcPr>
            <w:tcW w:w="964" w:type="dxa"/>
            <w:tcBorders>
              <w:top w:val="single" w:color="auto" w:sz="2" w:space="0"/>
              <w:left w:val="single" w:color="auto" w:sz="2" w:space="0"/>
              <w:bottom w:val="single" w:color="auto" w:sz="2" w:space="0"/>
              <w:right w:val="single" w:color="auto" w:sz="2" w:space="0"/>
            </w:tcBorders>
            <w:vAlign w:val="center"/>
          </w:tcPr>
          <w:p w14:paraId="08928635">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8892E41">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1C375D0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389C4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49,453,015.81</w:t>
            </w:r>
          </w:p>
        </w:tc>
        <w:tc>
          <w:tcPr>
            <w:tcW w:w="964" w:type="dxa"/>
            <w:tcBorders>
              <w:top w:val="single" w:color="auto" w:sz="2" w:space="0"/>
              <w:left w:val="single" w:color="auto" w:sz="2" w:space="0"/>
              <w:bottom w:val="single" w:color="auto" w:sz="2" w:space="0"/>
              <w:right w:val="single" w:color="auto" w:sz="2" w:space="0"/>
            </w:tcBorders>
            <w:vAlign w:val="center"/>
          </w:tcPr>
          <w:p w14:paraId="392F885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85,293.35</w:t>
            </w:r>
          </w:p>
        </w:tc>
        <w:tc>
          <w:tcPr>
            <w:tcW w:w="964" w:type="dxa"/>
            <w:tcBorders>
              <w:top w:val="single" w:color="auto" w:sz="2" w:space="0"/>
              <w:left w:val="single" w:color="auto" w:sz="2" w:space="0"/>
              <w:bottom w:val="single" w:color="auto" w:sz="2" w:space="0"/>
              <w:right w:val="single" w:color="auto" w:sz="2" w:space="0"/>
            </w:tcBorders>
            <w:vAlign w:val="center"/>
          </w:tcPr>
          <w:p w14:paraId="6B7CB7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184,357,300.42</w:t>
            </w:r>
          </w:p>
        </w:tc>
        <w:tc>
          <w:tcPr>
            <w:tcW w:w="964" w:type="dxa"/>
            <w:tcBorders>
              <w:top w:val="single" w:color="auto" w:sz="2" w:space="0"/>
              <w:left w:val="single" w:color="auto" w:sz="2" w:space="0"/>
              <w:bottom w:val="single" w:color="auto" w:sz="2" w:space="0"/>
              <w:right w:val="single" w:color="auto" w:sz="2" w:space="0"/>
            </w:tcBorders>
            <w:vAlign w:val="center"/>
          </w:tcPr>
          <w:p w14:paraId="5C212C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1,955,887.95</w:t>
            </w:r>
          </w:p>
        </w:tc>
        <w:tc>
          <w:tcPr>
            <w:tcW w:w="964" w:type="dxa"/>
            <w:tcBorders>
              <w:top w:val="single" w:color="auto" w:sz="2" w:space="0"/>
              <w:left w:val="single" w:color="auto" w:sz="2" w:space="0"/>
              <w:bottom w:val="single" w:color="auto" w:sz="2" w:space="0"/>
              <w:right w:val="single" w:color="auto" w:sz="2" w:space="0"/>
            </w:tcBorders>
            <w:vAlign w:val="center"/>
          </w:tcPr>
          <w:p w14:paraId="475C10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191,990.88</w:t>
            </w:r>
          </w:p>
        </w:tc>
        <w:tc>
          <w:tcPr>
            <w:tcW w:w="964" w:type="dxa"/>
            <w:tcBorders>
              <w:top w:val="single" w:color="auto" w:sz="2" w:space="0"/>
              <w:left w:val="single" w:color="auto" w:sz="2" w:space="0"/>
              <w:bottom w:val="single" w:color="auto" w:sz="2" w:space="0"/>
              <w:right w:val="single" w:color="auto" w:sz="2" w:space="0"/>
            </w:tcBorders>
            <w:vAlign w:val="center"/>
          </w:tcPr>
          <w:p w14:paraId="66BC74E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236,043,488.41</w:t>
            </w:r>
          </w:p>
        </w:tc>
      </w:tr>
      <w:tr w14:paraId="62BDF9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F9DA1D4">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2.期初账面价值</w:t>
            </w:r>
          </w:p>
        </w:tc>
        <w:tc>
          <w:tcPr>
            <w:tcW w:w="964" w:type="dxa"/>
            <w:tcBorders>
              <w:top w:val="single" w:color="auto" w:sz="2" w:space="0"/>
              <w:left w:val="single" w:color="auto" w:sz="2" w:space="0"/>
              <w:bottom w:val="single" w:color="auto" w:sz="2" w:space="0"/>
              <w:right w:val="single" w:color="auto" w:sz="2" w:space="0"/>
            </w:tcBorders>
            <w:vAlign w:val="center"/>
          </w:tcPr>
          <w:p w14:paraId="55EC4078">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58F55A49">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43E43D7E">
            <w:pPr>
              <w:spacing w:before="0" w:after="0" w:line="240" w:lineRule="exact"/>
              <w:jc w:val="right"/>
              <w:rPr>
                <w:rFonts w:ascii="宋体" w:hAnsi="宋体" w:eastAsia="宋体" w:cs="宋体"/>
                <w:color w:val="auto"/>
                <w:sz w:val="18"/>
                <w:szCs w:val="18"/>
              </w:rPr>
            </w:pPr>
          </w:p>
        </w:tc>
        <w:tc>
          <w:tcPr>
            <w:tcW w:w="964" w:type="dxa"/>
            <w:tcBorders>
              <w:top w:val="single" w:color="auto" w:sz="2" w:space="0"/>
              <w:left w:val="single" w:color="auto" w:sz="2" w:space="0"/>
              <w:bottom w:val="single" w:color="auto" w:sz="2" w:space="0"/>
              <w:right w:val="single" w:color="auto" w:sz="2" w:space="0"/>
            </w:tcBorders>
            <w:vAlign w:val="center"/>
          </w:tcPr>
          <w:p w14:paraId="2C1AC2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50,079,681.73</w:t>
            </w:r>
          </w:p>
        </w:tc>
        <w:tc>
          <w:tcPr>
            <w:tcW w:w="964" w:type="dxa"/>
            <w:tcBorders>
              <w:top w:val="single" w:color="auto" w:sz="2" w:space="0"/>
              <w:left w:val="single" w:color="auto" w:sz="2" w:space="0"/>
              <w:bottom w:val="single" w:color="auto" w:sz="2" w:space="0"/>
              <w:right w:val="single" w:color="auto" w:sz="2" w:space="0"/>
            </w:tcBorders>
            <w:vAlign w:val="center"/>
          </w:tcPr>
          <w:p w14:paraId="67D15D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127,940.03</w:t>
            </w:r>
          </w:p>
        </w:tc>
        <w:tc>
          <w:tcPr>
            <w:tcW w:w="964" w:type="dxa"/>
            <w:tcBorders>
              <w:top w:val="single" w:color="auto" w:sz="2" w:space="0"/>
              <w:left w:val="single" w:color="auto" w:sz="2" w:space="0"/>
              <w:bottom w:val="single" w:color="auto" w:sz="2" w:space="0"/>
              <w:right w:val="single" w:color="auto" w:sz="2" w:space="0"/>
            </w:tcBorders>
            <w:vAlign w:val="center"/>
          </w:tcPr>
          <w:p w14:paraId="14B1105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199,001,640.39</w:t>
            </w:r>
          </w:p>
        </w:tc>
        <w:tc>
          <w:tcPr>
            <w:tcW w:w="964" w:type="dxa"/>
            <w:tcBorders>
              <w:top w:val="single" w:color="auto" w:sz="2" w:space="0"/>
              <w:left w:val="single" w:color="auto" w:sz="2" w:space="0"/>
              <w:bottom w:val="single" w:color="auto" w:sz="2" w:space="0"/>
              <w:right w:val="single" w:color="auto" w:sz="2" w:space="0"/>
            </w:tcBorders>
            <w:vAlign w:val="center"/>
          </w:tcPr>
          <w:p w14:paraId="09D31B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2,207,139.93</w:t>
            </w:r>
          </w:p>
        </w:tc>
        <w:tc>
          <w:tcPr>
            <w:tcW w:w="964" w:type="dxa"/>
            <w:tcBorders>
              <w:top w:val="single" w:color="auto" w:sz="2" w:space="0"/>
              <w:left w:val="single" w:color="auto" w:sz="2" w:space="0"/>
              <w:bottom w:val="single" w:color="auto" w:sz="2" w:space="0"/>
              <w:right w:val="single" w:color="auto" w:sz="2" w:space="0"/>
            </w:tcBorders>
            <w:vAlign w:val="center"/>
          </w:tcPr>
          <w:p w14:paraId="68C7D36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238,812.84</w:t>
            </w:r>
          </w:p>
        </w:tc>
        <w:tc>
          <w:tcPr>
            <w:tcW w:w="964" w:type="dxa"/>
            <w:tcBorders>
              <w:top w:val="single" w:color="auto" w:sz="2" w:space="0"/>
              <w:left w:val="single" w:color="auto" w:sz="2" w:space="0"/>
              <w:bottom w:val="single" w:color="auto" w:sz="2" w:space="0"/>
              <w:right w:val="single" w:color="auto" w:sz="2" w:space="0"/>
            </w:tcBorders>
            <w:vAlign w:val="center"/>
          </w:tcPr>
          <w:p w14:paraId="57452B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251,655,214.92</w:t>
            </w:r>
          </w:p>
        </w:tc>
      </w:tr>
    </w:tbl>
    <w:p w14:paraId="4859767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本期末通过公司内部研发形成的无形资产占无形资产余额的比例69.14%</w:t>
      </w:r>
    </w:p>
    <w:p w14:paraId="3483C629">
      <w:pPr>
        <w:keepNext/>
        <w:keepLines/>
        <w:spacing w:before="300" w:after="300" w:line="280" w:lineRule="exact"/>
        <w:jc w:val="left"/>
        <w:outlineLvl w:val="3"/>
        <w:rPr>
          <w:rFonts w:ascii="宋体" w:hAnsi="宋体" w:eastAsia="宋体" w:cs="宋体"/>
          <w:b/>
          <w:bCs/>
          <w:color w:val="auto"/>
          <w:sz w:val="21"/>
          <w:szCs w:val="21"/>
        </w:rPr>
      </w:pPr>
      <w:bookmarkStart w:id="190" w:name="_Toc989166"/>
      <w:r>
        <w:rPr>
          <w:rFonts w:ascii="宋体" w:hAnsi="宋体" w:eastAsia="宋体" w:cs="宋体"/>
          <w:b/>
          <w:bCs/>
          <w:color w:val="auto"/>
          <w:sz w:val="21"/>
          <w:szCs w:val="21"/>
        </w:rPr>
        <w:t>（2）确认为无形资产的数据资源</w:t>
      </w:r>
      <w:bookmarkEnd w:id="190"/>
    </w:p>
    <w:p w14:paraId="59DD086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86551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E24E4C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2E794E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外购的数据资源无形资产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0320D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自行开发的数据资源无形资产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D41CC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其他方式取得的数据资源无形资产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91797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bl>
    <w:p w14:paraId="1CFD055A">
      <w:pPr>
        <w:spacing w:before="100" w:after="100" w:line="0" w:lineRule="exact"/>
        <w:jc w:val="left"/>
        <w:rPr>
          <w:color w:val="auto"/>
        </w:rPr>
      </w:pPr>
    </w:p>
    <w:p w14:paraId="10CE8542">
      <w:pPr>
        <w:keepNext/>
        <w:keepLines/>
        <w:spacing w:before="300" w:after="300" w:line="280" w:lineRule="exact"/>
        <w:jc w:val="left"/>
        <w:outlineLvl w:val="3"/>
        <w:rPr>
          <w:rFonts w:ascii="宋体" w:hAnsi="宋体" w:eastAsia="宋体" w:cs="宋体"/>
          <w:b/>
          <w:bCs/>
          <w:color w:val="auto"/>
          <w:sz w:val="21"/>
          <w:szCs w:val="21"/>
        </w:rPr>
      </w:pPr>
      <w:bookmarkStart w:id="191" w:name="_Toc989167"/>
      <w:r>
        <w:rPr>
          <w:rFonts w:ascii="宋体" w:hAnsi="宋体" w:eastAsia="宋体" w:cs="宋体"/>
          <w:b/>
          <w:bCs/>
          <w:color w:val="auto"/>
          <w:sz w:val="21"/>
          <w:szCs w:val="21"/>
        </w:rPr>
        <w:t>（3）未办妥产权证书的土地使用权情况</w:t>
      </w:r>
      <w:bookmarkEnd w:id="191"/>
    </w:p>
    <w:p w14:paraId="27311EE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4C8C1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4EA7D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C08B7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C0F28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未办妥产权证书的原因</w:t>
            </w:r>
          </w:p>
        </w:tc>
      </w:tr>
    </w:tbl>
    <w:p w14:paraId="47EC598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5FC3404E">
      <w:pPr>
        <w:keepNext/>
        <w:keepLines/>
        <w:spacing w:before="300" w:after="300" w:line="280" w:lineRule="exact"/>
        <w:jc w:val="left"/>
        <w:outlineLvl w:val="3"/>
        <w:rPr>
          <w:rFonts w:ascii="宋体" w:hAnsi="宋体" w:eastAsia="宋体" w:cs="宋体"/>
          <w:b/>
          <w:bCs/>
          <w:color w:val="auto"/>
          <w:sz w:val="21"/>
          <w:szCs w:val="21"/>
        </w:rPr>
      </w:pPr>
      <w:bookmarkStart w:id="192" w:name="_Toc989168"/>
      <w:r>
        <w:rPr>
          <w:rFonts w:ascii="宋体" w:hAnsi="宋体" w:eastAsia="宋体" w:cs="宋体"/>
          <w:b/>
          <w:bCs/>
          <w:color w:val="auto"/>
          <w:sz w:val="21"/>
          <w:szCs w:val="21"/>
        </w:rPr>
        <w:t>（4）无形资产的减值测试情况</w:t>
      </w:r>
      <w:bookmarkEnd w:id="192"/>
    </w:p>
    <w:p w14:paraId="6BC0FE6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12D56355">
      <w:pPr>
        <w:keepNext/>
        <w:keepLines/>
        <w:spacing w:before="300" w:after="300" w:line="280" w:lineRule="exact"/>
        <w:jc w:val="left"/>
        <w:outlineLvl w:val="2"/>
        <w:rPr>
          <w:rFonts w:ascii="宋体" w:hAnsi="宋体" w:eastAsia="宋体" w:cs="宋体"/>
          <w:b/>
          <w:bCs/>
          <w:color w:val="auto"/>
          <w:sz w:val="21"/>
          <w:szCs w:val="21"/>
        </w:rPr>
      </w:pPr>
      <w:bookmarkStart w:id="193" w:name="_Toc989169"/>
      <w:r>
        <w:rPr>
          <w:rFonts w:ascii="宋体" w:hAnsi="宋体" w:eastAsia="宋体" w:cs="宋体"/>
          <w:b/>
          <w:bCs/>
          <w:color w:val="auto"/>
          <w:sz w:val="21"/>
          <w:szCs w:val="21"/>
        </w:rPr>
        <w:t>27、商誉</w:t>
      </w:r>
      <w:bookmarkEnd w:id="193"/>
    </w:p>
    <w:p w14:paraId="19E9E1D2">
      <w:pPr>
        <w:keepNext/>
        <w:keepLines/>
        <w:spacing w:before="300" w:after="300" w:line="280" w:lineRule="exact"/>
        <w:jc w:val="left"/>
        <w:outlineLvl w:val="3"/>
        <w:rPr>
          <w:rFonts w:ascii="宋体" w:hAnsi="宋体" w:eastAsia="宋体" w:cs="宋体"/>
          <w:b/>
          <w:bCs/>
          <w:color w:val="auto"/>
          <w:sz w:val="21"/>
          <w:szCs w:val="21"/>
        </w:rPr>
      </w:pPr>
      <w:bookmarkStart w:id="194" w:name="_Toc989170"/>
      <w:r>
        <w:rPr>
          <w:rFonts w:ascii="宋体" w:hAnsi="宋体" w:eastAsia="宋体" w:cs="宋体"/>
          <w:b/>
          <w:bCs/>
          <w:color w:val="auto"/>
          <w:sz w:val="21"/>
          <w:szCs w:val="21"/>
        </w:rPr>
        <w:t>（1）商誉账面原值</w:t>
      </w:r>
      <w:bookmarkEnd w:id="194"/>
    </w:p>
    <w:p w14:paraId="1C19D1C0">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F6019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2C50E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被投资单位名称或形成商誉的事项</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060E6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2DC24E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15D35A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58AF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3ECEBF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vAlign w:val="center"/>
          </w:tcPr>
          <w:p w14:paraId="5BECA380">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135CD3">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0ECA91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企业合并形成的</w:t>
            </w:r>
          </w:p>
        </w:tc>
        <w:tc>
          <w:tcPr>
            <w:tcW w:w="1377" w:type="dxa"/>
            <w:tcBorders>
              <w:top w:val="single" w:color="auto" w:sz="2" w:space="0"/>
              <w:left w:val="single" w:color="auto" w:sz="2" w:space="0"/>
              <w:bottom w:val="single" w:color="auto" w:sz="2" w:space="0"/>
              <w:right w:val="single" w:color="auto" w:sz="2" w:space="0"/>
            </w:tcBorders>
            <w:vAlign w:val="center"/>
          </w:tcPr>
          <w:p w14:paraId="6A6B0A35">
            <w:pPr>
              <w:spacing w:before="0" w:after="0" w:line="240" w:lineRule="exact"/>
              <w:jc w:val="center"/>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DA6CE3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处置</w:t>
            </w:r>
          </w:p>
        </w:tc>
        <w:tc>
          <w:tcPr>
            <w:tcW w:w="1377" w:type="dxa"/>
            <w:tcBorders>
              <w:top w:val="single" w:color="auto" w:sz="2" w:space="0"/>
              <w:left w:val="single" w:color="auto" w:sz="2" w:space="0"/>
              <w:bottom w:val="single" w:color="auto" w:sz="2" w:space="0"/>
              <w:right w:val="single" w:color="auto" w:sz="2" w:space="0"/>
            </w:tcBorders>
            <w:vAlign w:val="center"/>
          </w:tcPr>
          <w:p w14:paraId="01B1FFD3">
            <w:pPr>
              <w:spacing w:before="0" w:after="0" w:line="240" w:lineRule="exact"/>
              <w:jc w:val="center"/>
              <w:rPr>
                <w:rFonts w:ascii="宋体" w:hAnsi="宋体" w:eastAsia="宋体" w:cs="宋体"/>
                <w:color w:val="auto"/>
                <w:sz w:val="18"/>
                <w:szCs w:val="18"/>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90B601C">
            <w:pPr>
              <w:rPr>
                <w:color w:val="auto"/>
              </w:rPr>
            </w:pPr>
          </w:p>
        </w:tc>
      </w:tr>
      <w:tr w14:paraId="65AEF6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91D65D4">
            <w:pPr>
              <w:spacing w:before="0" w:after="0" w:line="240" w:lineRule="exact"/>
              <w:jc w:val="left"/>
              <w:rPr>
                <w:rFonts w:ascii="宋体" w:hAnsi="宋体" w:eastAsia="宋体" w:cs="宋体"/>
                <w:color w:val="auto"/>
                <w:sz w:val="18"/>
                <w:szCs w:val="18"/>
              </w:rPr>
            </w:pPr>
            <w:r>
              <w:rPr>
                <w:rFonts w:hint="eastAsia" w:ascii="宋体" w:hAnsi="宋体" w:cs="宋体"/>
                <w:color w:val="auto"/>
                <w:sz w:val="18"/>
                <w:szCs w:val="18"/>
              </w:rPr>
              <w:t>广生堂中兴（江苏）药业有限公司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1952D90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58,968,390.42</w:t>
            </w:r>
          </w:p>
        </w:tc>
        <w:tc>
          <w:tcPr>
            <w:tcW w:w="1377" w:type="dxa"/>
            <w:tcBorders>
              <w:top w:val="single" w:color="auto" w:sz="2" w:space="0"/>
              <w:left w:val="single" w:color="auto" w:sz="2" w:space="0"/>
              <w:bottom w:val="single" w:color="auto" w:sz="2" w:space="0"/>
              <w:right w:val="single" w:color="auto" w:sz="2" w:space="0"/>
            </w:tcBorders>
            <w:vAlign w:val="center"/>
          </w:tcPr>
          <w:p w14:paraId="4BEEB6E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5AF5242">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BBFBF8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D7BE253">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5F312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58,968,390.42</w:t>
            </w:r>
          </w:p>
        </w:tc>
      </w:tr>
      <w:tr w14:paraId="194C0C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4215AA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3C8DA8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58,968,390.42</w:t>
            </w:r>
          </w:p>
        </w:tc>
        <w:tc>
          <w:tcPr>
            <w:tcW w:w="1377" w:type="dxa"/>
            <w:tcBorders>
              <w:top w:val="single" w:color="auto" w:sz="2" w:space="0"/>
              <w:left w:val="single" w:color="auto" w:sz="2" w:space="0"/>
              <w:bottom w:val="single" w:color="auto" w:sz="2" w:space="0"/>
              <w:right w:val="single" w:color="auto" w:sz="2" w:space="0"/>
            </w:tcBorders>
            <w:vAlign w:val="center"/>
          </w:tcPr>
          <w:p w14:paraId="4D51776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909A8A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CAEAD3A">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B7A34A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874F51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58,968,390.42</w:t>
            </w:r>
          </w:p>
        </w:tc>
      </w:tr>
    </w:tbl>
    <w:p w14:paraId="6E521B23">
      <w:pPr>
        <w:keepNext/>
        <w:keepLines/>
        <w:spacing w:before="300" w:after="300" w:line="280" w:lineRule="exact"/>
        <w:jc w:val="left"/>
        <w:outlineLvl w:val="3"/>
        <w:rPr>
          <w:rFonts w:ascii="宋体" w:hAnsi="宋体" w:eastAsia="宋体" w:cs="宋体"/>
          <w:b/>
          <w:bCs/>
          <w:color w:val="auto"/>
          <w:sz w:val="21"/>
          <w:szCs w:val="21"/>
        </w:rPr>
      </w:pPr>
      <w:bookmarkStart w:id="195" w:name="_Toc989171"/>
      <w:r>
        <w:rPr>
          <w:rFonts w:ascii="宋体" w:hAnsi="宋体" w:eastAsia="宋体" w:cs="宋体"/>
          <w:b/>
          <w:bCs/>
          <w:color w:val="auto"/>
          <w:sz w:val="21"/>
          <w:szCs w:val="21"/>
        </w:rPr>
        <w:t>（2）商誉减值准备</w:t>
      </w:r>
      <w:bookmarkEnd w:id="195"/>
    </w:p>
    <w:p w14:paraId="775B0C9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4EA34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8275A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被投资单位名称或形成商誉的事项</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72388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1B6600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E8C07E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481A29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6E67D8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vAlign w:val="center"/>
          </w:tcPr>
          <w:p w14:paraId="4E1A4AA5">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B8A5E9">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4C797A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vAlign w:val="center"/>
          </w:tcPr>
          <w:p w14:paraId="12D87806">
            <w:pPr>
              <w:spacing w:before="0" w:after="0" w:line="240" w:lineRule="exact"/>
              <w:jc w:val="center"/>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CEFA9F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处置</w:t>
            </w:r>
          </w:p>
        </w:tc>
        <w:tc>
          <w:tcPr>
            <w:tcW w:w="1377" w:type="dxa"/>
            <w:tcBorders>
              <w:top w:val="single" w:color="auto" w:sz="2" w:space="0"/>
              <w:left w:val="single" w:color="auto" w:sz="2" w:space="0"/>
              <w:bottom w:val="single" w:color="auto" w:sz="2" w:space="0"/>
              <w:right w:val="single" w:color="auto" w:sz="2" w:space="0"/>
            </w:tcBorders>
            <w:vAlign w:val="center"/>
          </w:tcPr>
          <w:p w14:paraId="65F2E2E5">
            <w:pPr>
              <w:spacing w:before="0" w:after="0" w:line="240" w:lineRule="exact"/>
              <w:jc w:val="center"/>
              <w:rPr>
                <w:rFonts w:ascii="宋体" w:hAnsi="宋体" w:eastAsia="宋体" w:cs="宋体"/>
                <w:color w:val="auto"/>
                <w:sz w:val="18"/>
                <w:szCs w:val="18"/>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F97AD6">
            <w:pPr>
              <w:rPr>
                <w:color w:val="auto"/>
              </w:rPr>
            </w:pPr>
          </w:p>
        </w:tc>
      </w:tr>
      <w:tr w14:paraId="30FFC6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2E55EA8">
            <w:pPr>
              <w:spacing w:before="0" w:after="0" w:line="240" w:lineRule="exact"/>
              <w:jc w:val="lef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91ED2A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D6E811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5F61814">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A2CC1DA">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837C1C5">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D7221F1">
            <w:pPr>
              <w:spacing w:before="0" w:after="0" w:line="240" w:lineRule="exact"/>
              <w:jc w:val="right"/>
              <w:rPr>
                <w:rFonts w:ascii="宋体" w:hAnsi="宋体" w:eastAsia="宋体" w:cs="宋体"/>
                <w:color w:val="auto"/>
                <w:sz w:val="18"/>
                <w:szCs w:val="18"/>
              </w:rPr>
            </w:pPr>
          </w:p>
        </w:tc>
      </w:tr>
      <w:tr w14:paraId="03CE64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2C6556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02BAFD9D">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CA88FD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92C383">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46745C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D77E52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5A93B27">
            <w:pPr>
              <w:spacing w:before="0" w:after="0" w:line="240" w:lineRule="exact"/>
              <w:jc w:val="right"/>
              <w:rPr>
                <w:rFonts w:ascii="宋体" w:hAnsi="宋体" w:eastAsia="宋体" w:cs="宋体"/>
                <w:color w:val="auto"/>
                <w:sz w:val="18"/>
                <w:szCs w:val="18"/>
              </w:rPr>
            </w:pPr>
          </w:p>
        </w:tc>
      </w:tr>
    </w:tbl>
    <w:p w14:paraId="16C38473">
      <w:pPr>
        <w:keepNext/>
        <w:keepLines/>
        <w:spacing w:before="300" w:after="300" w:line="280" w:lineRule="exact"/>
        <w:jc w:val="left"/>
        <w:outlineLvl w:val="3"/>
        <w:rPr>
          <w:rFonts w:ascii="宋体" w:hAnsi="宋体" w:eastAsia="宋体" w:cs="宋体"/>
          <w:b/>
          <w:bCs/>
          <w:color w:val="auto"/>
          <w:sz w:val="21"/>
          <w:szCs w:val="21"/>
        </w:rPr>
      </w:pPr>
      <w:bookmarkStart w:id="196" w:name="_Toc989172"/>
      <w:r>
        <w:rPr>
          <w:rFonts w:ascii="宋体" w:hAnsi="宋体" w:eastAsia="宋体" w:cs="宋体"/>
          <w:b/>
          <w:bCs/>
          <w:color w:val="auto"/>
          <w:sz w:val="21"/>
          <w:szCs w:val="21"/>
        </w:rPr>
        <w:t>（3）商誉所在资产组或资产组组合的相关信息</w:t>
      </w:r>
      <w:bookmarkEnd w:id="196"/>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1B1E3C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0DD49F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E7C114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所属资产组或组合的构成及依据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96E9E7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所属经营分部及依据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13CB17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是否与以前年度保持一致</w:t>
            </w:r>
          </w:p>
        </w:tc>
      </w:tr>
    </w:tbl>
    <w:p w14:paraId="117D13C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资产组或资产组组合发生变化</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243996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F3D3B8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122769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变化前的构成</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973DA9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变化后的构成</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E9A50A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导致变化的客观事实及依据</w:t>
            </w:r>
          </w:p>
        </w:tc>
      </w:tr>
    </w:tbl>
    <w:p w14:paraId="3F4BBA0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7827488">
      <w:pPr>
        <w:keepNext/>
        <w:keepLines/>
        <w:spacing w:before="300" w:after="300" w:line="280" w:lineRule="exact"/>
        <w:jc w:val="left"/>
        <w:outlineLvl w:val="3"/>
        <w:rPr>
          <w:rFonts w:ascii="宋体" w:hAnsi="宋体" w:eastAsia="宋体" w:cs="宋体"/>
          <w:b/>
          <w:bCs/>
          <w:color w:val="auto"/>
          <w:sz w:val="21"/>
          <w:szCs w:val="21"/>
        </w:rPr>
      </w:pPr>
      <w:bookmarkStart w:id="197" w:name="_Toc989173"/>
      <w:r>
        <w:rPr>
          <w:rFonts w:ascii="宋体" w:hAnsi="宋体" w:eastAsia="宋体" w:cs="宋体"/>
          <w:b/>
          <w:bCs/>
          <w:color w:val="auto"/>
          <w:sz w:val="21"/>
          <w:szCs w:val="21"/>
        </w:rPr>
        <w:t>（4）可收回金额的具体确定方法</w:t>
      </w:r>
      <w:bookmarkEnd w:id="197"/>
    </w:p>
    <w:p w14:paraId="04ADC70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可收回金额按公允价值减去处置费用后的净额确定</w:t>
      </w:r>
    </w:p>
    <w:p w14:paraId="392611B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4F974E4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可收回金额按预计未来现金流量的现值确定</w:t>
      </w:r>
    </w:p>
    <w:p w14:paraId="6716691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00674B6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前述信息与以前年度减值测试采用的信息或外部信息明显不一致的差异原因</w:t>
      </w:r>
    </w:p>
    <w:p w14:paraId="642035B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公司以前年度减值测试采用信息与当年实际情况明显不一致的差异原因</w:t>
      </w:r>
    </w:p>
    <w:p w14:paraId="50CD158A">
      <w:pPr>
        <w:keepNext/>
        <w:keepLines/>
        <w:spacing w:before="300" w:after="300" w:line="280" w:lineRule="exact"/>
        <w:jc w:val="left"/>
        <w:outlineLvl w:val="3"/>
        <w:rPr>
          <w:rFonts w:ascii="宋体" w:hAnsi="宋体" w:eastAsia="宋体" w:cs="宋体"/>
          <w:b/>
          <w:bCs/>
          <w:color w:val="auto"/>
          <w:sz w:val="21"/>
          <w:szCs w:val="21"/>
        </w:rPr>
      </w:pPr>
      <w:bookmarkStart w:id="198" w:name="_Toc989174"/>
      <w:r>
        <w:rPr>
          <w:rFonts w:ascii="宋体" w:hAnsi="宋体" w:eastAsia="宋体" w:cs="宋体"/>
          <w:b/>
          <w:bCs/>
          <w:color w:val="auto"/>
          <w:sz w:val="21"/>
          <w:szCs w:val="21"/>
        </w:rPr>
        <w:t>（5）业绩承诺完成及对应商誉减值情况</w:t>
      </w:r>
      <w:bookmarkEnd w:id="198"/>
    </w:p>
    <w:p w14:paraId="6A25CAB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形成商誉时存在业绩承诺且报告期或报告期上一期间处于业绩承诺期内</w:t>
      </w:r>
    </w:p>
    <w:p w14:paraId="328BC6D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3C5511C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E1D4EBA">
      <w:pPr>
        <w:keepNext/>
        <w:keepLines/>
        <w:spacing w:before="300" w:after="300" w:line="280" w:lineRule="exact"/>
        <w:jc w:val="left"/>
        <w:outlineLvl w:val="2"/>
        <w:rPr>
          <w:rFonts w:ascii="宋体" w:hAnsi="宋体" w:eastAsia="宋体" w:cs="宋体"/>
          <w:b/>
          <w:bCs/>
          <w:color w:val="auto"/>
          <w:sz w:val="21"/>
          <w:szCs w:val="21"/>
        </w:rPr>
      </w:pPr>
      <w:bookmarkStart w:id="199" w:name="_Toc989175"/>
      <w:r>
        <w:rPr>
          <w:rFonts w:ascii="宋体" w:hAnsi="宋体" w:eastAsia="宋体" w:cs="宋体"/>
          <w:b/>
          <w:bCs/>
          <w:color w:val="auto"/>
          <w:sz w:val="21"/>
          <w:szCs w:val="21"/>
        </w:rPr>
        <w:t>28、长期待摊费用</w:t>
      </w:r>
      <w:bookmarkEnd w:id="199"/>
    </w:p>
    <w:p w14:paraId="07AF45B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107146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292BAA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4D31EB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B71AB2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C473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本期摊销金额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7C9EFF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其他减少金额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522BF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4A108B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B8160E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福州房屋建筑装修</w:t>
            </w:r>
          </w:p>
        </w:tc>
        <w:tc>
          <w:tcPr>
            <w:tcW w:w="1606" w:type="dxa"/>
            <w:tcBorders>
              <w:top w:val="single" w:color="auto" w:sz="2" w:space="0"/>
              <w:left w:val="single" w:color="auto" w:sz="2" w:space="0"/>
              <w:bottom w:val="single" w:color="auto" w:sz="2" w:space="0"/>
              <w:right w:val="single" w:color="auto" w:sz="2" w:space="0"/>
            </w:tcBorders>
            <w:vAlign w:val="center"/>
          </w:tcPr>
          <w:p w14:paraId="6065580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28,937,617.10</w:t>
            </w:r>
          </w:p>
        </w:tc>
        <w:tc>
          <w:tcPr>
            <w:tcW w:w="1606" w:type="dxa"/>
            <w:tcBorders>
              <w:top w:val="single" w:color="auto" w:sz="2" w:space="0"/>
              <w:left w:val="single" w:color="auto" w:sz="2" w:space="0"/>
              <w:bottom w:val="single" w:color="auto" w:sz="2" w:space="0"/>
              <w:right w:val="single" w:color="auto" w:sz="2" w:space="0"/>
            </w:tcBorders>
            <w:vAlign w:val="center"/>
          </w:tcPr>
          <w:p w14:paraId="5744C18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449,541.28</w:t>
            </w:r>
          </w:p>
        </w:tc>
        <w:tc>
          <w:tcPr>
            <w:tcW w:w="1606" w:type="dxa"/>
            <w:tcBorders>
              <w:top w:val="single" w:color="auto" w:sz="2" w:space="0"/>
              <w:left w:val="single" w:color="auto" w:sz="2" w:space="0"/>
              <w:bottom w:val="single" w:color="auto" w:sz="2" w:space="0"/>
              <w:right w:val="single" w:color="auto" w:sz="2" w:space="0"/>
            </w:tcBorders>
            <w:vAlign w:val="center"/>
          </w:tcPr>
          <w:p w14:paraId="05E972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1,961,855.92</w:t>
            </w:r>
          </w:p>
        </w:tc>
        <w:tc>
          <w:tcPr>
            <w:tcW w:w="1606" w:type="dxa"/>
            <w:tcBorders>
              <w:top w:val="single" w:color="auto" w:sz="2" w:space="0"/>
              <w:left w:val="single" w:color="auto" w:sz="2" w:space="0"/>
              <w:bottom w:val="single" w:color="auto" w:sz="2" w:space="0"/>
              <w:right w:val="single" w:color="auto" w:sz="2" w:space="0"/>
            </w:tcBorders>
            <w:vAlign w:val="center"/>
          </w:tcPr>
          <w:p w14:paraId="75357E17">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ECB8F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27,425,302.46</w:t>
            </w:r>
          </w:p>
        </w:tc>
      </w:tr>
      <w:tr w14:paraId="593764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1967F2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柘荣房屋建筑装修</w:t>
            </w:r>
          </w:p>
        </w:tc>
        <w:tc>
          <w:tcPr>
            <w:tcW w:w="1606" w:type="dxa"/>
            <w:tcBorders>
              <w:top w:val="single" w:color="auto" w:sz="2" w:space="0"/>
              <w:left w:val="single" w:color="auto" w:sz="2" w:space="0"/>
              <w:bottom w:val="single" w:color="auto" w:sz="2" w:space="0"/>
              <w:right w:val="single" w:color="auto" w:sz="2" w:space="0"/>
            </w:tcBorders>
            <w:vAlign w:val="center"/>
          </w:tcPr>
          <w:p w14:paraId="092C64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3,594,668.25</w:t>
            </w:r>
          </w:p>
        </w:tc>
        <w:tc>
          <w:tcPr>
            <w:tcW w:w="1606" w:type="dxa"/>
            <w:tcBorders>
              <w:top w:val="single" w:color="auto" w:sz="2" w:space="0"/>
              <w:left w:val="single" w:color="auto" w:sz="2" w:space="0"/>
              <w:bottom w:val="single" w:color="auto" w:sz="2" w:space="0"/>
              <w:right w:val="single" w:color="auto" w:sz="2" w:space="0"/>
            </w:tcBorders>
            <w:vAlign w:val="center"/>
          </w:tcPr>
          <w:p w14:paraId="07EF1D0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82,469.42</w:t>
            </w:r>
          </w:p>
        </w:tc>
        <w:tc>
          <w:tcPr>
            <w:tcW w:w="1606" w:type="dxa"/>
            <w:tcBorders>
              <w:top w:val="single" w:color="auto" w:sz="2" w:space="0"/>
              <w:left w:val="single" w:color="auto" w:sz="2" w:space="0"/>
              <w:bottom w:val="single" w:color="auto" w:sz="2" w:space="0"/>
              <w:right w:val="single" w:color="auto" w:sz="2" w:space="0"/>
            </w:tcBorders>
            <w:vAlign w:val="center"/>
          </w:tcPr>
          <w:p w14:paraId="518C0A7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262,976.35</w:t>
            </w:r>
          </w:p>
        </w:tc>
        <w:tc>
          <w:tcPr>
            <w:tcW w:w="1606" w:type="dxa"/>
            <w:tcBorders>
              <w:top w:val="single" w:color="auto" w:sz="2" w:space="0"/>
              <w:left w:val="single" w:color="auto" w:sz="2" w:space="0"/>
              <w:bottom w:val="single" w:color="auto" w:sz="2" w:space="0"/>
              <w:right w:val="single" w:color="auto" w:sz="2" w:space="0"/>
            </w:tcBorders>
            <w:vAlign w:val="center"/>
          </w:tcPr>
          <w:p w14:paraId="03C86056">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461FC2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3,414,161.32</w:t>
            </w:r>
          </w:p>
        </w:tc>
      </w:tr>
      <w:tr w14:paraId="0FC8FC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B91544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上海房屋建筑装修</w:t>
            </w:r>
          </w:p>
        </w:tc>
        <w:tc>
          <w:tcPr>
            <w:tcW w:w="1606" w:type="dxa"/>
            <w:tcBorders>
              <w:top w:val="single" w:color="auto" w:sz="2" w:space="0"/>
              <w:left w:val="single" w:color="auto" w:sz="2" w:space="0"/>
              <w:bottom w:val="single" w:color="auto" w:sz="2" w:space="0"/>
              <w:right w:val="single" w:color="auto" w:sz="2" w:space="0"/>
            </w:tcBorders>
            <w:vAlign w:val="center"/>
          </w:tcPr>
          <w:p w14:paraId="11430D1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1,980,054.02</w:t>
            </w:r>
          </w:p>
        </w:tc>
        <w:tc>
          <w:tcPr>
            <w:tcW w:w="1606" w:type="dxa"/>
            <w:tcBorders>
              <w:top w:val="single" w:color="auto" w:sz="2" w:space="0"/>
              <w:left w:val="single" w:color="auto" w:sz="2" w:space="0"/>
              <w:bottom w:val="single" w:color="auto" w:sz="2" w:space="0"/>
              <w:right w:val="single" w:color="auto" w:sz="2" w:space="0"/>
            </w:tcBorders>
            <w:vAlign w:val="center"/>
          </w:tcPr>
          <w:p w14:paraId="1D689FB3">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84EC9D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191,618.04</w:t>
            </w:r>
          </w:p>
        </w:tc>
        <w:tc>
          <w:tcPr>
            <w:tcW w:w="1606" w:type="dxa"/>
            <w:tcBorders>
              <w:top w:val="single" w:color="auto" w:sz="2" w:space="0"/>
              <w:left w:val="single" w:color="auto" w:sz="2" w:space="0"/>
              <w:bottom w:val="single" w:color="auto" w:sz="2" w:space="0"/>
              <w:right w:val="single" w:color="auto" w:sz="2" w:space="0"/>
            </w:tcBorders>
            <w:vAlign w:val="center"/>
          </w:tcPr>
          <w:p w14:paraId="50E538FA">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9232E5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1,788,435.98</w:t>
            </w:r>
          </w:p>
        </w:tc>
      </w:tr>
      <w:tr w14:paraId="1B4851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93C439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金塘房屋建筑装修</w:t>
            </w:r>
          </w:p>
        </w:tc>
        <w:tc>
          <w:tcPr>
            <w:tcW w:w="1606" w:type="dxa"/>
            <w:tcBorders>
              <w:top w:val="single" w:color="auto" w:sz="2" w:space="0"/>
              <w:left w:val="single" w:color="auto" w:sz="2" w:space="0"/>
              <w:bottom w:val="single" w:color="auto" w:sz="2" w:space="0"/>
              <w:right w:val="single" w:color="auto" w:sz="2" w:space="0"/>
            </w:tcBorders>
            <w:vAlign w:val="center"/>
          </w:tcPr>
          <w:p w14:paraId="09D0B0C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875,114.34</w:t>
            </w:r>
          </w:p>
        </w:tc>
        <w:tc>
          <w:tcPr>
            <w:tcW w:w="1606" w:type="dxa"/>
            <w:tcBorders>
              <w:top w:val="single" w:color="auto" w:sz="2" w:space="0"/>
              <w:left w:val="single" w:color="auto" w:sz="2" w:space="0"/>
              <w:bottom w:val="single" w:color="auto" w:sz="2" w:space="0"/>
              <w:right w:val="single" w:color="auto" w:sz="2" w:space="0"/>
            </w:tcBorders>
            <w:vAlign w:val="center"/>
          </w:tcPr>
          <w:p w14:paraId="189E3556">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E2E1E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53,578.44</w:t>
            </w:r>
          </w:p>
        </w:tc>
        <w:tc>
          <w:tcPr>
            <w:tcW w:w="1606" w:type="dxa"/>
            <w:tcBorders>
              <w:top w:val="single" w:color="auto" w:sz="2" w:space="0"/>
              <w:left w:val="single" w:color="auto" w:sz="2" w:space="0"/>
              <w:bottom w:val="single" w:color="auto" w:sz="2" w:space="0"/>
              <w:right w:val="single" w:color="auto" w:sz="2" w:space="0"/>
            </w:tcBorders>
            <w:vAlign w:val="center"/>
          </w:tcPr>
          <w:p w14:paraId="172B74FC">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B641C1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821,535.90</w:t>
            </w:r>
          </w:p>
        </w:tc>
      </w:tr>
      <w:tr w14:paraId="0E2287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2F6EC4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漳州房屋建筑装修</w:t>
            </w:r>
          </w:p>
        </w:tc>
        <w:tc>
          <w:tcPr>
            <w:tcW w:w="1606" w:type="dxa"/>
            <w:tcBorders>
              <w:top w:val="single" w:color="auto" w:sz="2" w:space="0"/>
              <w:left w:val="single" w:color="auto" w:sz="2" w:space="0"/>
              <w:bottom w:val="single" w:color="auto" w:sz="2" w:space="0"/>
              <w:right w:val="single" w:color="auto" w:sz="2" w:space="0"/>
            </w:tcBorders>
            <w:vAlign w:val="center"/>
          </w:tcPr>
          <w:p w14:paraId="4B7583BA">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C86B9D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78,751.00</w:t>
            </w:r>
          </w:p>
        </w:tc>
        <w:tc>
          <w:tcPr>
            <w:tcW w:w="1606" w:type="dxa"/>
            <w:tcBorders>
              <w:top w:val="single" w:color="auto" w:sz="2" w:space="0"/>
              <w:left w:val="single" w:color="auto" w:sz="2" w:space="0"/>
              <w:bottom w:val="single" w:color="auto" w:sz="2" w:space="0"/>
              <w:right w:val="single" w:color="auto" w:sz="2" w:space="0"/>
            </w:tcBorders>
            <w:vAlign w:val="center"/>
          </w:tcPr>
          <w:p w14:paraId="218323E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13,125.18</w:t>
            </w:r>
          </w:p>
        </w:tc>
        <w:tc>
          <w:tcPr>
            <w:tcW w:w="1606" w:type="dxa"/>
            <w:tcBorders>
              <w:top w:val="single" w:color="auto" w:sz="2" w:space="0"/>
              <w:left w:val="single" w:color="auto" w:sz="2" w:space="0"/>
              <w:bottom w:val="single" w:color="auto" w:sz="2" w:space="0"/>
              <w:right w:val="single" w:color="auto" w:sz="2" w:space="0"/>
            </w:tcBorders>
            <w:vAlign w:val="center"/>
          </w:tcPr>
          <w:p w14:paraId="44BCE8CD">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06515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65,625.82</w:t>
            </w:r>
          </w:p>
        </w:tc>
      </w:tr>
      <w:tr w14:paraId="462FC4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74E222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合成车间一、二周边电力线路迁移项目</w:t>
            </w:r>
          </w:p>
        </w:tc>
        <w:tc>
          <w:tcPr>
            <w:tcW w:w="1606" w:type="dxa"/>
            <w:tcBorders>
              <w:top w:val="single" w:color="auto" w:sz="2" w:space="0"/>
              <w:left w:val="single" w:color="auto" w:sz="2" w:space="0"/>
              <w:bottom w:val="single" w:color="auto" w:sz="2" w:space="0"/>
              <w:right w:val="single" w:color="auto" w:sz="2" w:space="0"/>
            </w:tcBorders>
            <w:vAlign w:val="center"/>
          </w:tcPr>
          <w:p w14:paraId="3C12ACC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1,376,615.12</w:t>
            </w:r>
          </w:p>
        </w:tc>
        <w:tc>
          <w:tcPr>
            <w:tcW w:w="1606" w:type="dxa"/>
            <w:tcBorders>
              <w:top w:val="single" w:color="auto" w:sz="2" w:space="0"/>
              <w:left w:val="single" w:color="auto" w:sz="2" w:space="0"/>
              <w:bottom w:val="single" w:color="auto" w:sz="2" w:space="0"/>
              <w:right w:val="single" w:color="auto" w:sz="2" w:space="0"/>
            </w:tcBorders>
            <w:vAlign w:val="center"/>
          </w:tcPr>
          <w:p w14:paraId="769CB8D6">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A0563E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344,153.76</w:t>
            </w:r>
          </w:p>
        </w:tc>
        <w:tc>
          <w:tcPr>
            <w:tcW w:w="1606" w:type="dxa"/>
            <w:tcBorders>
              <w:top w:val="single" w:color="auto" w:sz="2" w:space="0"/>
              <w:left w:val="single" w:color="auto" w:sz="2" w:space="0"/>
              <w:bottom w:val="single" w:color="auto" w:sz="2" w:space="0"/>
              <w:right w:val="single" w:color="auto" w:sz="2" w:space="0"/>
            </w:tcBorders>
            <w:vAlign w:val="center"/>
          </w:tcPr>
          <w:p w14:paraId="641BE7F7">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621D0C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1,032,461.36</w:t>
            </w:r>
          </w:p>
        </w:tc>
      </w:tr>
      <w:tr w14:paraId="4F0E80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CEDD5A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西宅村委会土地租赁费</w:t>
            </w:r>
          </w:p>
        </w:tc>
        <w:tc>
          <w:tcPr>
            <w:tcW w:w="1606" w:type="dxa"/>
            <w:tcBorders>
              <w:top w:val="single" w:color="auto" w:sz="2" w:space="0"/>
              <w:left w:val="single" w:color="auto" w:sz="2" w:space="0"/>
              <w:bottom w:val="single" w:color="auto" w:sz="2" w:space="0"/>
              <w:right w:val="single" w:color="auto" w:sz="2" w:space="0"/>
            </w:tcBorders>
            <w:vAlign w:val="center"/>
          </w:tcPr>
          <w:p w14:paraId="688138E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178,333.75</w:t>
            </w:r>
          </w:p>
        </w:tc>
        <w:tc>
          <w:tcPr>
            <w:tcW w:w="1606" w:type="dxa"/>
            <w:tcBorders>
              <w:top w:val="single" w:color="auto" w:sz="2" w:space="0"/>
              <w:left w:val="single" w:color="auto" w:sz="2" w:space="0"/>
              <w:bottom w:val="single" w:color="auto" w:sz="2" w:space="0"/>
              <w:right w:val="single" w:color="auto" w:sz="2" w:space="0"/>
            </w:tcBorders>
            <w:vAlign w:val="center"/>
          </w:tcPr>
          <w:p w14:paraId="0C31D97F">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729C48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32,499.96</w:t>
            </w:r>
          </w:p>
        </w:tc>
        <w:tc>
          <w:tcPr>
            <w:tcW w:w="1606" w:type="dxa"/>
            <w:tcBorders>
              <w:top w:val="single" w:color="auto" w:sz="2" w:space="0"/>
              <w:left w:val="single" w:color="auto" w:sz="2" w:space="0"/>
              <w:bottom w:val="single" w:color="auto" w:sz="2" w:space="0"/>
              <w:right w:val="single" w:color="auto" w:sz="2" w:space="0"/>
            </w:tcBorders>
            <w:vAlign w:val="center"/>
          </w:tcPr>
          <w:p w14:paraId="73E7629B">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BB02C4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145,833.79</w:t>
            </w:r>
          </w:p>
        </w:tc>
      </w:tr>
      <w:tr w14:paraId="1B2C68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E9C239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498006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36,942,402.58</w:t>
            </w:r>
          </w:p>
        </w:tc>
        <w:tc>
          <w:tcPr>
            <w:tcW w:w="1606" w:type="dxa"/>
            <w:tcBorders>
              <w:top w:val="single" w:color="auto" w:sz="2" w:space="0"/>
              <w:left w:val="single" w:color="auto" w:sz="2" w:space="0"/>
              <w:bottom w:val="single" w:color="auto" w:sz="2" w:space="0"/>
              <w:right w:val="single" w:color="auto" w:sz="2" w:space="0"/>
            </w:tcBorders>
            <w:vAlign w:val="center"/>
          </w:tcPr>
          <w:p w14:paraId="582D11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610,761.70</w:t>
            </w:r>
          </w:p>
        </w:tc>
        <w:tc>
          <w:tcPr>
            <w:tcW w:w="1606" w:type="dxa"/>
            <w:tcBorders>
              <w:top w:val="single" w:color="auto" w:sz="2" w:space="0"/>
              <w:left w:val="single" w:color="auto" w:sz="2" w:space="0"/>
              <w:bottom w:val="single" w:color="auto" w:sz="2" w:space="0"/>
              <w:right w:val="single" w:color="auto" w:sz="2" w:space="0"/>
            </w:tcBorders>
            <w:vAlign w:val="center"/>
          </w:tcPr>
          <w:p w14:paraId="1F64CF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2,859,807.65</w:t>
            </w:r>
          </w:p>
        </w:tc>
        <w:tc>
          <w:tcPr>
            <w:tcW w:w="1606" w:type="dxa"/>
            <w:tcBorders>
              <w:top w:val="single" w:color="auto" w:sz="2" w:space="0"/>
              <w:left w:val="single" w:color="auto" w:sz="2" w:space="0"/>
              <w:bottom w:val="single" w:color="auto" w:sz="2" w:space="0"/>
              <w:right w:val="single" w:color="auto" w:sz="2" w:space="0"/>
            </w:tcBorders>
            <w:vAlign w:val="center"/>
          </w:tcPr>
          <w:p w14:paraId="5D76295E">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C6DE6E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34,693,356.63</w:t>
            </w:r>
          </w:p>
        </w:tc>
      </w:tr>
    </w:tbl>
    <w:p w14:paraId="0ACEA2C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117111A">
      <w:pPr>
        <w:keepNext/>
        <w:keepLines/>
        <w:spacing w:before="300" w:after="300" w:line="280" w:lineRule="exact"/>
        <w:jc w:val="left"/>
        <w:outlineLvl w:val="2"/>
        <w:rPr>
          <w:rFonts w:ascii="宋体" w:hAnsi="宋体" w:eastAsia="宋体" w:cs="宋体"/>
          <w:b/>
          <w:bCs/>
          <w:color w:val="auto"/>
          <w:sz w:val="21"/>
          <w:szCs w:val="21"/>
        </w:rPr>
      </w:pPr>
      <w:bookmarkStart w:id="200" w:name="_Toc989176"/>
      <w:r>
        <w:rPr>
          <w:rFonts w:ascii="宋体" w:hAnsi="宋体" w:eastAsia="宋体" w:cs="宋体"/>
          <w:b/>
          <w:bCs/>
          <w:color w:val="auto"/>
          <w:sz w:val="21"/>
          <w:szCs w:val="21"/>
        </w:rPr>
        <w:t>29、递延所得税资产/递延所得税负债</w:t>
      </w:r>
      <w:bookmarkEnd w:id="200"/>
    </w:p>
    <w:p w14:paraId="1FC5098A">
      <w:pPr>
        <w:keepNext/>
        <w:keepLines/>
        <w:spacing w:before="300" w:after="300" w:line="280" w:lineRule="exact"/>
        <w:jc w:val="left"/>
        <w:outlineLvl w:val="3"/>
        <w:rPr>
          <w:rFonts w:ascii="宋体" w:hAnsi="宋体" w:eastAsia="宋体" w:cs="宋体"/>
          <w:b/>
          <w:bCs/>
          <w:color w:val="auto"/>
          <w:sz w:val="21"/>
          <w:szCs w:val="21"/>
        </w:rPr>
      </w:pPr>
      <w:bookmarkStart w:id="201" w:name="_Toc989177"/>
      <w:r>
        <w:rPr>
          <w:rFonts w:ascii="宋体" w:hAnsi="宋体" w:eastAsia="宋体" w:cs="宋体"/>
          <w:b/>
          <w:bCs/>
          <w:color w:val="auto"/>
          <w:sz w:val="21"/>
          <w:szCs w:val="21"/>
        </w:rPr>
        <w:t>（1）未经抵销的递延所得税资产</w:t>
      </w:r>
      <w:bookmarkEnd w:id="201"/>
    </w:p>
    <w:p w14:paraId="63EAA51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3C4C8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48F43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4590E0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C1F703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6FEBB8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8765FB3">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21E8F6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可抵扣暂时性差异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6F74C2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递延所得税资产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C7F5A4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可抵扣暂时性差异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3D1833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递延所得税资产</w:t>
            </w:r>
          </w:p>
        </w:tc>
      </w:tr>
      <w:tr w14:paraId="36F059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23141C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资产减值准备</w:t>
            </w:r>
          </w:p>
        </w:tc>
        <w:tc>
          <w:tcPr>
            <w:tcW w:w="1928" w:type="dxa"/>
            <w:tcBorders>
              <w:top w:val="single" w:color="auto" w:sz="2" w:space="0"/>
              <w:left w:val="single" w:color="auto" w:sz="2" w:space="0"/>
              <w:bottom w:val="single" w:color="auto" w:sz="2" w:space="0"/>
              <w:right w:val="single" w:color="auto" w:sz="2" w:space="0"/>
            </w:tcBorders>
            <w:vAlign w:val="center"/>
          </w:tcPr>
          <w:p w14:paraId="4E21EE3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3,970,965.49</w:t>
            </w:r>
          </w:p>
        </w:tc>
        <w:tc>
          <w:tcPr>
            <w:tcW w:w="1928" w:type="dxa"/>
            <w:tcBorders>
              <w:top w:val="single" w:color="auto" w:sz="2" w:space="0"/>
              <w:left w:val="single" w:color="auto" w:sz="2" w:space="0"/>
              <w:bottom w:val="single" w:color="auto" w:sz="2" w:space="0"/>
              <w:right w:val="single" w:color="auto" w:sz="2" w:space="0"/>
            </w:tcBorders>
            <w:vAlign w:val="center"/>
          </w:tcPr>
          <w:p w14:paraId="6E2F6CA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992,741.38</w:t>
            </w:r>
          </w:p>
        </w:tc>
        <w:tc>
          <w:tcPr>
            <w:tcW w:w="1928" w:type="dxa"/>
            <w:tcBorders>
              <w:top w:val="single" w:color="auto" w:sz="2" w:space="0"/>
              <w:left w:val="single" w:color="auto" w:sz="2" w:space="0"/>
              <w:bottom w:val="single" w:color="auto" w:sz="2" w:space="0"/>
              <w:right w:val="single" w:color="auto" w:sz="2" w:space="0"/>
            </w:tcBorders>
            <w:vAlign w:val="center"/>
          </w:tcPr>
          <w:p w14:paraId="42E497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3,970,965.49</w:t>
            </w:r>
          </w:p>
        </w:tc>
        <w:tc>
          <w:tcPr>
            <w:tcW w:w="1928" w:type="dxa"/>
            <w:tcBorders>
              <w:top w:val="single" w:color="auto" w:sz="2" w:space="0"/>
              <w:left w:val="single" w:color="auto" w:sz="2" w:space="0"/>
              <w:bottom w:val="single" w:color="auto" w:sz="2" w:space="0"/>
              <w:right w:val="single" w:color="auto" w:sz="2" w:space="0"/>
            </w:tcBorders>
            <w:vAlign w:val="center"/>
          </w:tcPr>
          <w:p w14:paraId="5AD5871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992,741.38</w:t>
            </w:r>
          </w:p>
        </w:tc>
      </w:tr>
      <w:tr w14:paraId="713341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CA1E9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可抵扣亏损</w:t>
            </w:r>
          </w:p>
        </w:tc>
        <w:tc>
          <w:tcPr>
            <w:tcW w:w="1928" w:type="dxa"/>
            <w:tcBorders>
              <w:top w:val="single" w:color="auto" w:sz="2" w:space="0"/>
              <w:left w:val="single" w:color="auto" w:sz="2" w:space="0"/>
              <w:bottom w:val="single" w:color="auto" w:sz="2" w:space="0"/>
              <w:right w:val="single" w:color="auto" w:sz="2" w:space="0"/>
            </w:tcBorders>
            <w:vAlign w:val="center"/>
          </w:tcPr>
          <w:p w14:paraId="18B476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2,403,276.87</w:t>
            </w:r>
          </w:p>
        </w:tc>
        <w:tc>
          <w:tcPr>
            <w:tcW w:w="1928" w:type="dxa"/>
            <w:tcBorders>
              <w:top w:val="single" w:color="auto" w:sz="2" w:space="0"/>
              <w:left w:val="single" w:color="auto" w:sz="2" w:space="0"/>
              <w:bottom w:val="single" w:color="auto" w:sz="2" w:space="0"/>
              <w:right w:val="single" w:color="auto" w:sz="2" w:space="0"/>
            </w:tcBorders>
            <w:vAlign w:val="center"/>
          </w:tcPr>
          <w:p w14:paraId="70B990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366,706.50</w:t>
            </w:r>
          </w:p>
        </w:tc>
        <w:tc>
          <w:tcPr>
            <w:tcW w:w="1928" w:type="dxa"/>
            <w:tcBorders>
              <w:top w:val="single" w:color="auto" w:sz="2" w:space="0"/>
              <w:left w:val="single" w:color="auto" w:sz="2" w:space="0"/>
              <w:bottom w:val="single" w:color="auto" w:sz="2" w:space="0"/>
              <w:right w:val="single" w:color="auto" w:sz="2" w:space="0"/>
            </w:tcBorders>
            <w:vAlign w:val="center"/>
          </w:tcPr>
          <w:p w14:paraId="31103D2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3,038,600.60</w:t>
            </w:r>
          </w:p>
        </w:tc>
        <w:tc>
          <w:tcPr>
            <w:tcW w:w="1928" w:type="dxa"/>
            <w:tcBorders>
              <w:top w:val="single" w:color="auto" w:sz="2" w:space="0"/>
              <w:left w:val="single" w:color="auto" w:sz="2" w:space="0"/>
              <w:bottom w:val="single" w:color="auto" w:sz="2" w:space="0"/>
              <w:right w:val="single" w:color="auto" w:sz="2" w:space="0"/>
            </w:tcBorders>
            <w:vAlign w:val="center"/>
          </w:tcPr>
          <w:p w14:paraId="6CB853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461,207.77</w:t>
            </w:r>
          </w:p>
        </w:tc>
      </w:tr>
      <w:tr w14:paraId="2595C9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1652200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租赁负债</w:t>
            </w:r>
          </w:p>
        </w:tc>
        <w:tc>
          <w:tcPr>
            <w:tcW w:w="1928" w:type="dxa"/>
            <w:tcBorders>
              <w:top w:val="single" w:color="auto" w:sz="2" w:space="0"/>
              <w:left w:val="single" w:color="auto" w:sz="2" w:space="0"/>
              <w:bottom w:val="single" w:color="auto" w:sz="2" w:space="0"/>
              <w:right w:val="single" w:color="auto" w:sz="2" w:space="0"/>
            </w:tcBorders>
            <w:vAlign w:val="center"/>
          </w:tcPr>
          <w:p w14:paraId="03F1BEFA">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AD55EE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1928" w:type="dxa"/>
            <w:tcBorders>
              <w:top w:val="single" w:color="auto" w:sz="2" w:space="0"/>
              <w:left w:val="single" w:color="auto" w:sz="2" w:space="0"/>
              <w:bottom w:val="single" w:color="auto" w:sz="2" w:space="0"/>
              <w:right w:val="single" w:color="auto" w:sz="2" w:space="0"/>
            </w:tcBorders>
            <w:vAlign w:val="center"/>
          </w:tcPr>
          <w:p w14:paraId="688F5C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95,242.87</w:t>
            </w:r>
          </w:p>
        </w:tc>
        <w:tc>
          <w:tcPr>
            <w:tcW w:w="1928" w:type="dxa"/>
            <w:tcBorders>
              <w:top w:val="single" w:color="auto" w:sz="2" w:space="0"/>
              <w:left w:val="single" w:color="auto" w:sz="2" w:space="0"/>
              <w:bottom w:val="single" w:color="auto" w:sz="2" w:space="0"/>
              <w:right w:val="single" w:color="auto" w:sz="2" w:space="0"/>
            </w:tcBorders>
            <w:vAlign w:val="center"/>
          </w:tcPr>
          <w:p w14:paraId="7E4291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14,286.43</w:t>
            </w:r>
          </w:p>
        </w:tc>
      </w:tr>
      <w:tr w14:paraId="1379D8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CAEA5F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070873C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6,374,242.36</w:t>
            </w:r>
          </w:p>
        </w:tc>
        <w:tc>
          <w:tcPr>
            <w:tcW w:w="1928" w:type="dxa"/>
            <w:tcBorders>
              <w:top w:val="single" w:color="auto" w:sz="2" w:space="0"/>
              <w:left w:val="single" w:color="auto" w:sz="2" w:space="0"/>
              <w:bottom w:val="single" w:color="auto" w:sz="2" w:space="0"/>
              <w:right w:val="single" w:color="auto" w:sz="2" w:space="0"/>
            </w:tcBorders>
            <w:vAlign w:val="center"/>
          </w:tcPr>
          <w:p w14:paraId="2382493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1,359,447.88</w:t>
            </w:r>
          </w:p>
        </w:tc>
        <w:tc>
          <w:tcPr>
            <w:tcW w:w="1928" w:type="dxa"/>
            <w:tcBorders>
              <w:top w:val="single" w:color="auto" w:sz="2" w:space="0"/>
              <w:left w:val="single" w:color="auto" w:sz="2" w:space="0"/>
              <w:bottom w:val="single" w:color="auto" w:sz="2" w:space="0"/>
              <w:right w:val="single" w:color="auto" w:sz="2" w:space="0"/>
            </w:tcBorders>
            <w:vAlign w:val="center"/>
          </w:tcPr>
          <w:p w14:paraId="6AB21B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7,104,808.96</w:t>
            </w:r>
          </w:p>
        </w:tc>
        <w:tc>
          <w:tcPr>
            <w:tcW w:w="1928" w:type="dxa"/>
            <w:tcBorders>
              <w:top w:val="single" w:color="auto" w:sz="2" w:space="0"/>
              <w:left w:val="single" w:color="auto" w:sz="2" w:space="0"/>
              <w:bottom w:val="single" w:color="auto" w:sz="2" w:space="0"/>
              <w:right w:val="single" w:color="auto" w:sz="2" w:space="0"/>
            </w:tcBorders>
            <w:vAlign w:val="center"/>
          </w:tcPr>
          <w:p w14:paraId="782C78F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1,468,235.58</w:t>
            </w:r>
          </w:p>
        </w:tc>
      </w:tr>
    </w:tbl>
    <w:p w14:paraId="62F990AF">
      <w:pPr>
        <w:keepNext/>
        <w:keepLines/>
        <w:spacing w:before="300" w:after="300" w:line="280" w:lineRule="exact"/>
        <w:jc w:val="left"/>
        <w:outlineLvl w:val="3"/>
        <w:rPr>
          <w:rFonts w:ascii="宋体" w:hAnsi="宋体" w:eastAsia="宋体" w:cs="宋体"/>
          <w:b/>
          <w:bCs/>
          <w:color w:val="auto"/>
          <w:sz w:val="21"/>
          <w:szCs w:val="21"/>
        </w:rPr>
      </w:pPr>
      <w:bookmarkStart w:id="202" w:name="_Toc989178"/>
      <w:r>
        <w:rPr>
          <w:rFonts w:ascii="宋体" w:hAnsi="宋体" w:eastAsia="宋体" w:cs="宋体"/>
          <w:b/>
          <w:bCs/>
          <w:color w:val="auto"/>
          <w:sz w:val="21"/>
          <w:szCs w:val="21"/>
        </w:rPr>
        <w:t>（2）未经抵销的递延所得税负债</w:t>
      </w:r>
      <w:bookmarkEnd w:id="202"/>
    </w:p>
    <w:p w14:paraId="1111F4E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07241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022CF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4E240A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C1BDBA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1163AF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17A8F4">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59374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应纳税暂时性差异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332A99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递延所得税负债</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156A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应纳税暂时性差异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A02ED7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递延所得税负债</w:t>
            </w:r>
          </w:p>
        </w:tc>
      </w:tr>
      <w:tr w14:paraId="2FD995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82D58E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非同一控制企业合并资产评估增值</w:t>
            </w:r>
          </w:p>
        </w:tc>
        <w:tc>
          <w:tcPr>
            <w:tcW w:w="1928" w:type="dxa"/>
            <w:tcBorders>
              <w:top w:val="single" w:color="auto" w:sz="2" w:space="0"/>
              <w:left w:val="single" w:color="auto" w:sz="2" w:space="0"/>
              <w:bottom w:val="single" w:color="auto" w:sz="2" w:space="0"/>
              <w:right w:val="single" w:color="auto" w:sz="2" w:space="0"/>
            </w:tcBorders>
            <w:vAlign w:val="center"/>
          </w:tcPr>
          <w:p w14:paraId="4C828F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8,204,886.91</w:t>
            </w:r>
          </w:p>
        </w:tc>
        <w:tc>
          <w:tcPr>
            <w:tcW w:w="1928" w:type="dxa"/>
            <w:tcBorders>
              <w:top w:val="single" w:color="auto" w:sz="2" w:space="0"/>
              <w:left w:val="single" w:color="auto" w:sz="2" w:space="0"/>
              <w:bottom w:val="single" w:color="auto" w:sz="2" w:space="0"/>
              <w:right w:val="single" w:color="auto" w:sz="2" w:space="0"/>
            </w:tcBorders>
            <w:vAlign w:val="center"/>
          </w:tcPr>
          <w:p w14:paraId="33A70A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1,230,733.04</w:t>
            </w:r>
          </w:p>
        </w:tc>
        <w:tc>
          <w:tcPr>
            <w:tcW w:w="1928" w:type="dxa"/>
            <w:tcBorders>
              <w:top w:val="single" w:color="auto" w:sz="2" w:space="0"/>
              <w:left w:val="single" w:color="auto" w:sz="2" w:space="0"/>
              <w:bottom w:val="single" w:color="auto" w:sz="2" w:space="0"/>
              <w:right w:val="single" w:color="auto" w:sz="2" w:space="0"/>
            </w:tcBorders>
            <w:vAlign w:val="center"/>
          </w:tcPr>
          <w:p w14:paraId="40159A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8,457,094.67</w:t>
            </w:r>
          </w:p>
        </w:tc>
        <w:tc>
          <w:tcPr>
            <w:tcW w:w="1928" w:type="dxa"/>
            <w:tcBorders>
              <w:top w:val="single" w:color="auto" w:sz="2" w:space="0"/>
              <w:left w:val="single" w:color="auto" w:sz="2" w:space="0"/>
              <w:bottom w:val="single" w:color="auto" w:sz="2" w:space="0"/>
              <w:right w:val="single" w:color="auto" w:sz="2" w:space="0"/>
            </w:tcBorders>
            <w:vAlign w:val="center"/>
          </w:tcPr>
          <w:p w14:paraId="6134E4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1,268,564.20</w:t>
            </w:r>
          </w:p>
        </w:tc>
      </w:tr>
      <w:tr w14:paraId="00259F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B3CD04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固定资产加速折旧</w:t>
            </w:r>
          </w:p>
        </w:tc>
        <w:tc>
          <w:tcPr>
            <w:tcW w:w="1928" w:type="dxa"/>
            <w:tcBorders>
              <w:top w:val="single" w:color="auto" w:sz="2" w:space="0"/>
              <w:left w:val="single" w:color="auto" w:sz="2" w:space="0"/>
              <w:bottom w:val="single" w:color="auto" w:sz="2" w:space="0"/>
              <w:right w:val="single" w:color="auto" w:sz="2" w:space="0"/>
            </w:tcBorders>
            <w:vAlign w:val="center"/>
          </w:tcPr>
          <w:p w14:paraId="7237FF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4,132,789.44</w:t>
            </w:r>
          </w:p>
        </w:tc>
        <w:tc>
          <w:tcPr>
            <w:tcW w:w="1928" w:type="dxa"/>
            <w:tcBorders>
              <w:top w:val="single" w:color="auto" w:sz="2" w:space="0"/>
              <w:left w:val="single" w:color="auto" w:sz="2" w:space="0"/>
              <w:bottom w:val="single" w:color="auto" w:sz="2" w:space="0"/>
              <w:right w:val="single" w:color="auto" w:sz="2" w:space="0"/>
            </w:tcBorders>
            <w:vAlign w:val="center"/>
          </w:tcPr>
          <w:p w14:paraId="0D4D60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987,762.08</w:t>
            </w:r>
          </w:p>
        </w:tc>
        <w:tc>
          <w:tcPr>
            <w:tcW w:w="1928" w:type="dxa"/>
            <w:tcBorders>
              <w:top w:val="single" w:color="auto" w:sz="2" w:space="0"/>
              <w:left w:val="single" w:color="auto" w:sz="2" w:space="0"/>
              <w:bottom w:val="single" w:color="auto" w:sz="2" w:space="0"/>
              <w:right w:val="single" w:color="auto" w:sz="2" w:space="0"/>
            </w:tcBorders>
            <w:vAlign w:val="center"/>
          </w:tcPr>
          <w:p w14:paraId="5F6DD16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4,132,789.44</w:t>
            </w:r>
          </w:p>
        </w:tc>
        <w:tc>
          <w:tcPr>
            <w:tcW w:w="1928" w:type="dxa"/>
            <w:tcBorders>
              <w:top w:val="single" w:color="auto" w:sz="2" w:space="0"/>
              <w:left w:val="single" w:color="auto" w:sz="2" w:space="0"/>
              <w:bottom w:val="single" w:color="auto" w:sz="2" w:space="0"/>
              <w:right w:val="single" w:color="auto" w:sz="2" w:space="0"/>
            </w:tcBorders>
            <w:vAlign w:val="center"/>
          </w:tcPr>
          <w:p w14:paraId="725D7D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987,762.08</w:t>
            </w:r>
          </w:p>
        </w:tc>
      </w:tr>
      <w:tr w14:paraId="26AA66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AAA126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使用权资产</w:t>
            </w:r>
          </w:p>
        </w:tc>
        <w:tc>
          <w:tcPr>
            <w:tcW w:w="1928" w:type="dxa"/>
            <w:tcBorders>
              <w:top w:val="single" w:color="auto" w:sz="2" w:space="0"/>
              <w:left w:val="single" w:color="auto" w:sz="2" w:space="0"/>
              <w:bottom w:val="single" w:color="auto" w:sz="2" w:space="0"/>
              <w:right w:val="single" w:color="auto" w:sz="2" w:space="0"/>
            </w:tcBorders>
            <w:vAlign w:val="center"/>
          </w:tcPr>
          <w:p w14:paraId="388A9A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157,069.36</w:t>
            </w:r>
          </w:p>
        </w:tc>
        <w:tc>
          <w:tcPr>
            <w:tcW w:w="1928" w:type="dxa"/>
            <w:tcBorders>
              <w:top w:val="single" w:color="auto" w:sz="2" w:space="0"/>
              <w:left w:val="single" w:color="auto" w:sz="2" w:space="0"/>
              <w:bottom w:val="single" w:color="auto" w:sz="2" w:space="0"/>
              <w:right w:val="single" w:color="auto" w:sz="2" w:space="0"/>
            </w:tcBorders>
            <w:vAlign w:val="center"/>
          </w:tcPr>
          <w:p w14:paraId="2DCB31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24,310.38</w:t>
            </w:r>
          </w:p>
        </w:tc>
        <w:tc>
          <w:tcPr>
            <w:tcW w:w="1928" w:type="dxa"/>
            <w:tcBorders>
              <w:top w:val="single" w:color="auto" w:sz="2" w:space="0"/>
              <w:left w:val="single" w:color="auto" w:sz="2" w:space="0"/>
              <w:bottom w:val="single" w:color="auto" w:sz="2" w:space="0"/>
              <w:right w:val="single" w:color="auto" w:sz="2" w:space="0"/>
            </w:tcBorders>
            <w:vAlign w:val="center"/>
          </w:tcPr>
          <w:p w14:paraId="310C7B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370,756.19</w:t>
            </w:r>
          </w:p>
        </w:tc>
        <w:tc>
          <w:tcPr>
            <w:tcW w:w="1928" w:type="dxa"/>
            <w:tcBorders>
              <w:top w:val="single" w:color="auto" w:sz="2" w:space="0"/>
              <w:left w:val="single" w:color="auto" w:sz="2" w:space="0"/>
              <w:bottom w:val="single" w:color="auto" w:sz="2" w:space="0"/>
              <w:right w:val="single" w:color="auto" w:sz="2" w:space="0"/>
            </w:tcBorders>
            <w:vAlign w:val="center"/>
          </w:tcPr>
          <w:p w14:paraId="442049F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60,863.43</w:t>
            </w:r>
          </w:p>
        </w:tc>
      </w:tr>
      <w:tr w14:paraId="64741A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AC2626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免租期</w:t>
            </w:r>
          </w:p>
        </w:tc>
        <w:tc>
          <w:tcPr>
            <w:tcW w:w="1928" w:type="dxa"/>
            <w:tcBorders>
              <w:top w:val="single" w:color="auto" w:sz="2" w:space="0"/>
              <w:left w:val="single" w:color="auto" w:sz="2" w:space="0"/>
              <w:bottom w:val="single" w:color="auto" w:sz="2" w:space="0"/>
              <w:right w:val="single" w:color="auto" w:sz="2" w:space="0"/>
            </w:tcBorders>
            <w:vAlign w:val="center"/>
          </w:tcPr>
          <w:p w14:paraId="7DCDBC3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1,731,631.78</w:t>
            </w:r>
          </w:p>
        </w:tc>
        <w:tc>
          <w:tcPr>
            <w:tcW w:w="1928" w:type="dxa"/>
            <w:tcBorders>
              <w:top w:val="single" w:color="auto" w:sz="2" w:space="0"/>
              <w:left w:val="single" w:color="auto" w:sz="2" w:space="0"/>
              <w:bottom w:val="single" w:color="auto" w:sz="2" w:space="0"/>
              <w:right w:val="single" w:color="auto" w:sz="2" w:space="0"/>
            </w:tcBorders>
            <w:vAlign w:val="center"/>
          </w:tcPr>
          <w:p w14:paraId="1A9C808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259,744.77</w:t>
            </w:r>
          </w:p>
        </w:tc>
        <w:tc>
          <w:tcPr>
            <w:tcW w:w="1928" w:type="dxa"/>
            <w:tcBorders>
              <w:top w:val="single" w:color="auto" w:sz="2" w:space="0"/>
              <w:left w:val="single" w:color="auto" w:sz="2" w:space="0"/>
              <w:bottom w:val="single" w:color="auto" w:sz="2" w:space="0"/>
              <w:right w:val="single" w:color="auto" w:sz="2" w:space="0"/>
            </w:tcBorders>
            <w:vAlign w:val="center"/>
          </w:tcPr>
          <w:p w14:paraId="31F924A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2,320,768.67</w:t>
            </w:r>
          </w:p>
        </w:tc>
        <w:tc>
          <w:tcPr>
            <w:tcW w:w="1928" w:type="dxa"/>
            <w:tcBorders>
              <w:top w:val="single" w:color="auto" w:sz="2" w:space="0"/>
              <w:left w:val="single" w:color="auto" w:sz="2" w:space="0"/>
              <w:bottom w:val="single" w:color="auto" w:sz="2" w:space="0"/>
              <w:right w:val="single" w:color="auto" w:sz="2" w:space="0"/>
            </w:tcBorders>
            <w:vAlign w:val="center"/>
          </w:tcPr>
          <w:p w14:paraId="5F6DBB4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348,115.31</w:t>
            </w:r>
          </w:p>
        </w:tc>
      </w:tr>
      <w:tr w14:paraId="364FF4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9488A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3CC417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14,226,377.49</w:t>
            </w:r>
          </w:p>
        </w:tc>
        <w:tc>
          <w:tcPr>
            <w:tcW w:w="1928" w:type="dxa"/>
            <w:tcBorders>
              <w:top w:val="single" w:color="auto" w:sz="2" w:space="0"/>
              <w:left w:val="single" w:color="auto" w:sz="2" w:space="0"/>
              <w:bottom w:val="single" w:color="auto" w:sz="2" w:space="0"/>
              <w:right w:val="single" w:color="auto" w:sz="2" w:space="0"/>
            </w:tcBorders>
            <w:vAlign w:val="center"/>
          </w:tcPr>
          <w:p w14:paraId="50EEBB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2,502,550.27</w:t>
            </w:r>
          </w:p>
        </w:tc>
        <w:tc>
          <w:tcPr>
            <w:tcW w:w="1928" w:type="dxa"/>
            <w:tcBorders>
              <w:top w:val="single" w:color="auto" w:sz="2" w:space="0"/>
              <w:left w:val="single" w:color="auto" w:sz="2" w:space="0"/>
              <w:bottom w:val="single" w:color="auto" w:sz="2" w:space="0"/>
              <w:right w:val="single" w:color="auto" w:sz="2" w:space="0"/>
            </w:tcBorders>
            <w:vAlign w:val="center"/>
          </w:tcPr>
          <w:p w14:paraId="31162A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15,281,408.97</w:t>
            </w:r>
          </w:p>
        </w:tc>
        <w:tc>
          <w:tcPr>
            <w:tcW w:w="1928" w:type="dxa"/>
            <w:tcBorders>
              <w:top w:val="single" w:color="auto" w:sz="2" w:space="0"/>
              <w:left w:val="single" w:color="auto" w:sz="2" w:space="0"/>
              <w:bottom w:val="single" w:color="auto" w:sz="2" w:space="0"/>
              <w:right w:val="single" w:color="auto" w:sz="2" w:space="0"/>
            </w:tcBorders>
            <w:vAlign w:val="center"/>
          </w:tcPr>
          <w:p w14:paraId="0587B79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2,665,305.02</w:t>
            </w:r>
          </w:p>
        </w:tc>
      </w:tr>
    </w:tbl>
    <w:p w14:paraId="1B063503">
      <w:pPr>
        <w:keepNext/>
        <w:keepLines/>
        <w:spacing w:before="300" w:after="300" w:line="280" w:lineRule="exact"/>
        <w:jc w:val="left"/>
        <w:outlineLvl w:val="3"/>
        <w:rPr>
          <w:rFonts w:ascii="宋体" w:hAnsi="宋体" w:eastAsia="宋体" w:cs="宋体"/>
          <w:b/>
          <w:bCs/>
          <w:color w:val="auto"/>
          <w:sz w:val="21"/>
          <w:szCs w:val="21"/>
        </w:rPr>
      </w:pPr>
      <w:bookmarkStart w:id="203" w:name="_Toc989179"/>
      <w:r>
        <w:rPr>
          <w:rFonts w:ascii="宋体" w:hAnsi="宋体" w:eastAsia="宋体" w:cs="宋体"/>
          <w:b/>
          <w:bCs/>
          <w:color w:val="auto"/>
          <w:sz w:val="21"/>
          <w:szCs w:val="21"/>
        </w:rPr>
        <w:t>（3）以抵销后净额列示的递延所得税资产或负债</w:t>
      </w:r>
      <w:bookmarkEnd w:id="203"/>
    </w:p>
    <w:p w14:paraId="3374E5E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B62C5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635FE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AB5B36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递延所得税资产和负债期末互抵金额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5A844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抵销后递延所得税资产或负债期末余额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518529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递延所得税资产和负债期初互抵金额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7C1057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抵销后递延所得税资产或负债期初余额</w:t>
            </w:r>
          </w:p>
        </w:tc>
      </w:tr>
      <w:tr w14:paraId="35F262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E89F8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递延所得税资产</w:t>
            </w:r>
          </w:p>
        </w:tc>
        <w:tc>
          <w:tcPr>
            <w:tcW w:w="1928" w:type="dxa"/>
            <w:tcBorders>
              <w:top w:val="single" w:color="auto" w:sz="2" w:space="0"/>
              <w:left w:val="single" w:color="auto" w:sz="2" w:space="0"/>
              <w:bottom w:val="single" w:color="auto" w:sz="2" w:space="0"/>
              <w:right w:val="single" w:color="auto" w:sz="2" w:space="0"/>
            </w:tcBorders>
            <w:vAlign w:val="center"/>
          </w:tcPr>
          <w:p w14:paraId="073701CD">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5D266A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1,359,447.88</w:t>
            </w:r>
          </w:p>
        </w:tc>
        <w:tc>
          <w:tcPr>
            <w:tcW w:w="1928" w:type="dxa"/>
            <w:tcBorders>
              <w:top w:val="single" w:color="auto" w:sz="2" w:space="0"/>
              <w:left w:val="single" w:color="auto" w:sz="2" w:space="0"/>
              <w:bottom w:val="single" w:color="auto" w:sz="2" w:space="0"/>
              <w:right w:val="single" w:color="auto" w:sz="2" w:space="0"/>
            </w:tcBorders>
            <w:vAlign w:val="center"/>
          </w:tcPr>
          <w:p w14:paraId="55A656C0">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B860E7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1,468,235.58</w:t>
            </w:r>
          </w:p>
        </w:tc>
      </w:tr>
      <w:tr w14:paraId="46C270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5A1E9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递延所得税负债</w:t>
            </w:r>
          </w:p>
        </w:tc>
        <w:tc>
          <w:tcPr>
            <w:tcW w:w="1928" w:type="dxa"/>
            <w:tcBorders>
              <w:top w:val="single" w:color="auto" w:sz="2" w:space="0"/>
              <w:left w:val="single" w:color="auto" w:sz="2" w:space="0"/>
              <w:bottom w:val="single" w:color="auto" w:sz="2" w:space="0"/>
              <w:right w:val="single" w:color="auto" w:sz="2" w:space="0"/>
            </w:tcBorders>
            <w:vAlign w:val="center"/>
          </w:tcPr>
          <w:p w14:paraId="0331D0B0">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A0F7C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2,502,550.27</w:t>
            </w:r>
          </w:p>
        </w:tc>
        <w:tc>
          <w:tcPr>
            <w:tcW w:w="1928" w:type="dxa"/>
            <w:tcBorders>
              <w:top w:val="single" w:color="auto" w:sz="2" w:space="0"/>
              <w:left w:val="single" w:color="auto" w:sz="2" w:space="0"/>
              <w:bottom w:val="single" w:color="auto" w:sz="2" w:space="0"/>
              <w:right w:val="single" w:color="auto" w:sz="2" w:space="0"/>
            </w:tcBorders>
            <w:vAlign w:val="center"/>
          </w:tcPr>
          <w:p w14:paraId="7665E4EC">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9337AA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2,665,305.02</w:t>
            </w:r>
          </w:p>
        </w:tc>
      </w:tr>
    </w:tbl>
    <w:p w14:paraId="4571B536">
      <w:pPr>
        <w:keepNext/>
        <w:keepLines/>
        <w:spacing w:before="300" w:after="300" w:line="280" w:lineRule="exact"/>
        <w:jc w:val="left"/>
        <w:outlineLvl w:val="3"/>
        <w:rPr>
          <w:rFonts w:ascii="宋体" w:hAnsi="宋体" w:eastAsia="宋体" w:cs="宋体"/>
          <w:b/>
          <w:bCs/>
          <w:color w:val="auto"/>
          <w:sz w:val="21"/>
          <w:szCs w:val="21"/>
        </w:rPr>
      </w:pPr>
      <w:bookmarkStart w:id="204" w:name="_Toc989180"/>
      <w:r>
        <w:rPr>
          <w:rFonts w:ascii="宋体" w:hAnsi="宋体" w:eastAsia="宋体" w:cs="宋体"/>
          <w:b/>
          <w:bCs/>
          <w:color w:val="auto"/>
          <w:sz w:val="21"/>
          <w:szCs w:val="21"/>
        </w:rPr>
        <w:t>（4）未确认递延所得税资产明细</w:t>
      </w:r>
      <w:bookmarkEnd w:id="204"/>
    </w:p>
    <w:p w14:paraId="7FF784E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5831F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8D85C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59336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89E2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216320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45CB0A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可抵扣亏损</w:t>
            </w:r>
          </w:p>
        </w:tc>
        <w:tc>
          <w:tcPr>
            <w:tcW w:w="3213" w:type="dxa"/>
            <w:tcBorders>
              <w:top w:val="single" w:color="auto" w:sz="2" w:space="0"/>
              <w:left w:val="single" w:color="auto" w:sz="2" w:space="0"/>
              <w:bottom w:val="single" w:color="auto" w:sz="2" w:space="0"/>
              <w:right w:val="single" w:color="auto" w:sz="2" w:space="0"/>
            </w:tcBorders>
            <w:vAlign w:val="center"/>
          </w:tcPr>
          <w:p w14:paraId="7546957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938,985,547.35</w:t>
            </w:r>
          </w:p>
        </w:tc>
        <w:tc>
          <w:tcPr>
            <w:tcW w:w="3213" w:type="dxa"/>
            <w:tcBorders>
              <w:top w:val="single" w:color="auto" w:sz="2" w:space="0"/>
              <w:left w:val="single" w:color="auto" w:sz="2" w:space="0"/>
              <w:bottom w:val="single" w:color="auto" w:sz="2" w:space="0"/>
              <w:right w:val="single" w:color="auto" w:sz="2" w:space="0"/>
            </w:tcBorders>
            <w:vAlign w:val="center"/>
          </w:tcPr>
          <w:p w14:paraId="514DD68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864,095,328.12</w:t>
            </w:r>
          </w:p>
        </w:tc>
      </w:tr>
      <w:tr w14:paraId="647C98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2C3B31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资产减值准备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4E631C7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27,946,506.30</w:t>
            </w:r>
          </w:p>
        </w:tc>
        <w:tc>
          <w:tcPr>
            <w:tcW w:w="3213" w:type="dxa"/>
            <w:tcBorders>
              <w:top w:val="single" w:color="auto" w:sz="2" w:space="0"/>
              <w:left w:val="single" w:color="auto" w:sz="2" w:space="0"/>
              <w:bottom w:val="single" w:color="auto" w:sz="2" w:space="0"/>
              <w:right w:val="single" w:color="auto" w:sz="2" w:space="0"/>
            </w:tcBorders>
            <w:vAlign w:val="center"/>
          </w:tcPr>
          <w:p w14:paraId="1426EF8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85,353,014.04</w:t>
            </w:r>
          </w:p>
        </w:tc>
      </w:tr>
      <w:tr w14:paraId="7964D4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0A5EB5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政府补助</w:t>
            </w:r>
          </w:p>
        </w:tc>
        <w:tc>
          <w:tcPr>
            <w:tcW w:w="3213" w:type="dxa"/>
            <w:tcBorders>
              <w:top w:val="single" w:color="auto" w:sz="2" w:space="0"/>
              <w:left w:val="single" w:color="auto" w:sz="2" w:space="0"/>
              <w:bottom w:val="single" w:color="auto" w:sz="2" w:space="0"/>
              <w:right w:val="single" w:color="auto" w:sz="2" w:space="0"/>
            </w:tcBorders>
            <w:vAlign w:val="center"/>
          </w:tcPr>
          <w:p w14:paraId="6C0AC3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41,092,754.95</w:t>
            </w:r>
          </w:p>
        </w:tc>
        <w:tc>
          <w:tcPr>
            <w:tcW w:w="3213" w:type="dxa"/>
            <w:tcBorders>
              <w:top w:val="single" w:color="auto" w:sz="2" w:space="0"/>
              <w:left w:val="single" w:color="auto" w:sz="2" w:space="0"/>
              <w:bottom w:val="single" w:color="auto" w:sz="2" w:space="0"/>
              <w:right w:val="single" w:color="auto" w:sz="2" w:space="0"/>
            </w:tcBorders>
            <w:vAlign w:val="center"/>
          </w:tcPr>
          <w:p w14:paraId="0538971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41,907,210.24</w:t>
            </w:r>
          </w:p>
        </w:tc>
      </w:tr>
      <w:tr w14:paraId="0A299A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3D94BF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无形资产摊销税会差异</w:t>
            </w:r>
          </w:p>
        </w:tc>
        <w:tc>
          <w:tcPr>
            <w:tcW w:w="3213" w:type="dxa"/>
            <w:tcBorders>
              <w:top w:val="single" w:color="auto" w:sz="2" w:space="0"/>
              <w:left w:val="single" w:color="auto" w:sz="2" w:space="0"/>
              <w:bottom w:val="single" w:color="auto" w:sz="2" w:space="0"/>
              <w:right w:val="single" w:color="auto" w:sz="2" w:space="0"/>
            </w:tcBorders>
            <w:vAlign w:val="center"/>
          </w:tcPr>
          <w:p w14:paraId="2D339C8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35,293,389.51</w:t>
            </w:r>
          </w:p>
        </w:tc>
        <w:tc>
          <w:tcPr>
            <w:tcW w:w="3213" w:type="dxa"/>
            <w:tcBorders>
              <w:top w:val="single" w:color="auto" w:sz="2" w:space="0"/>
              <w:left w:val="single" w:color="auto" w:sz="2" w:space="0"/>
              <w:bottom w:val="single" w:color="auto" w:sz="2" w:space="0"/>
              <w:right w:val="single" w:color="auto" w:sz="2" w:space="0"/>
            </w:tcBorders>
            <w:vAlign w:val="center"/>
          </w:tcPr>
          <w:p w14:paraId="40A670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35,293,389.51</w:t>
            </w:r>
          </w:p>
        </w:tc>
      </w:tr>
      <w:tr w14:paraId="32C80E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1B09AA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可以结转以后年度税前扣除的公益性捐赠</w:t>
            </w:r>
          </w:p>
        </w:tc>
        <w:tc>
          <w:tcPr>
            <w:tcW w:w="3213" w:type="dxa"/>
            <w:tcBorders>
              <w:top w:val="single" w:color="auto" w:sz="2" w:space="0"/>
              <w:left w:val="single" w:color="auto" w:sz="2" w:space="0"/>
              <w:bottom w:val="single" w:color="auto" w:sz="2" w:space="0"/>
              <w:right w:val="single" w:color="auto" w:sz="2" w:space="0"/>
            </w:tcBorders>
            <w:vAlign w:val="center"/>
          </w:tcPr>
          <w:p w14:paraId="4F062DC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5,171,825.01</w:t>
            </w:r>
          </w:p>
        </w:tc>
        <w:tc>
          <w:tcPr>
            <w:tcW w:w="3213" w:type="dxa"/>
            <w:tcBorders>
              <w:top w:val="single" w:color="auto" w:sz="2" w:space="0"/>
              <w:left w:val="single" w:color="auto" w:sz="2" w:space="0"/>
              <w:bottom w:val="single" w:color="auto" w:sz="2" w:space="0"/>
              <w:right w:val="single" w:color="auto" w:sz="2" w:space="0"/>
            </w:tcBorders>
            <w:vAlign w:val="center"/>
          </w:tcPr>
          <w:p w14:paraId="595964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5,011,325.01</w:t>
            </w:r>
          </w:p>
        </w:tc>
      </w:tr>
      <w:tr w14:paraId="02505B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31CB58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内部未实现利润</w:t>
            </w:r>
          </w:p>
        </w:tc>
        <w:tc>
          <w:tcPr>
            <w:tcW w:w="3213" w:type="dxa"/>
            <w:tcBorders>
              <w:top w:val="single" w:color="auto" w:sz="2" w:space="0"/>
              <w:left w:val="single" w:color="auto" w:sz="2" w:space="0"/>
              <w:bottom w:val="single" w:color="auto" w:sz="2" w:space="0"/>
              <w:right w:val="single" w:color="auto" w:sz="2" w:space="0"/>
            </w:tcBorders>
            <w:vAlign w:val="center"/>
          </w:tcPr>
          <w:p w14:paraId="7295D60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284,352,659.71</w:t>
            </w:r>
          </w:p>
        </w:tc>
        <w:tc>
          <w:tcPr>
            <w:tcW w:w="3213" w:type="dxa"/>
            <w:tcBorders>
              <w:top w:val="single" w:color="auto" w:sz="2" w:space="0"/>
              <w:left w:val="single" w:color="auto" w:sz="2" w:space="0"/>
              <w:bottom w:val="single" w:color="auto" w:sz="2" w:space="0"/>
              <w:right w:val="single" w:color="auto" w:sz="2" w:space="0"/>
            </w:tcBorders>
            <w:vAlign w:val="center"/>
          </w:tcPr>
          <w:p w14:paraId="18EB95D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285,065,664.82</w:t>
            </w:r>
          </w:p>
        </w:tc>
      </w:tr>
      <w:tr w14:paraId="7DF5FC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9533C2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可以结转以后年度税前扣除的广告费和业务宣传费</w:t>
            </w:r>
          </w:p>
        </w:tc>
        <w:tc>
          <w:tcPr>
            <w:tcW w:w="3213" w:type="dxa"/>
            <w:tcBorders>
              <w:top w:val="single" w:color="auto" w:sz="2" w:space="0"/>
              <w:left w:val="single" w:color="auto" w:sz="2" w:space="0"/>
              <w:bottom w:val="single" w:color="auto" w:sz="2" w:space="0"/>
              <w:right w:val="single" w:color="auto" w:sz="2" w:space="0"/>
            </w:tcBorders>
            <w:vAlign w:val="center"/>
          </w:tcPr>
          <w:p w14:paraId="124595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9,105,849.74</w:t>
            </w:r>
          </w:p>
        </w:tc>
        <w:tc>
          <w:tcPr>
            <w:tcW w:w="3213" w:type="dxa"/>
            <w:tcBorders>
              <w:top w:val="single" w:color="auto" w:sz="2" w:space="0"/>
              <w:left w:val="single" w:color="auto" w:sz="2" w:space="0"/>
              <w:bottom w:val="single" w:color="auto" w:sz="2" w:space="0"/>
              <w:right w:val="single" w:color="auto" w:sz="2" w:space="0"/>
            </w:tcBorders>
            <w:vAlign w:val="center"/>
          </w:tcPr>
          <w:p w14:paraId="3FB0741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9,105,849.74</w:t>
            </w:r>
          </w:p>
        </w:tc>
      </w:tr>
      <w:tr w14:paraId="630245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55BCC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5B5B06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1,341,948,532.57</w:t>
            </w:r>
          </w:p>
        </w:tc>
        <w:tc>
          <w:tcPr>
            <w:tcW w:w="3213" w:type="dxa"/>
            <w:tcBorders>
              <w:top w:val="single" w:color="auto" w:sz="2" w:space="0"/>
              <w:left w:val="single" w:color="auto" w:sz="2" w:space="0"/>
              <w:bottom w:val="single" w:color="auto" w:sz="2" w:space="0"/>
              <w:right w:val="single" w:color="auto" w:sz="2" w:space="0"/>
            </w:tcBorders>
            <w:vAlign w:val="center"/>
          </w:tcPr>
          <w:p w14:paraId="4766165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1,325,831,781.48</w:t>
            </w:r>
          </w:p>
        </w:tc>
      </w:tr>
    </w:tbl>
    <w:p w14:paraId="1F0DEDFA">
      <w:pPr>
        <w:keepNext/>
        <w:keepLines/>
        <w:spacing w:before="300" w:after="300" w:line="280" w:lineRule="exact"/>
        <w:jc w:val="left"/>
        <w:outlineLvl w:val="3"/>
        <w:rPr>
          <w:rFonts w:ascii="宋体" w:hAnsi="宋体" w:eastAsia="宋体" w:cs="宋体"/>
          <w:b/>
          <w:bCs/>
          <w:color w:val="auto"/>
          <w:sz w:val="21"/>
          <w:szCs w:val="21"/>
        </w:rPr>
      </w:pPr>
      <w:bookmarkStart w:id="205" w:name="_Toc989181"/>
      <w:r>
        <w:rPr>
          <w:rFonts w:ascii="宋体" w:hAnsi="宋体" w:eastAsia="宋体" w:cs="宋体"/>
          <w:b/>
          <w:bCs/>
          <w:color w:val="auto"/>
          <w:sz w:val="21"/>
          <w:szCs w:val="21"/>
        </w:rPr>
        <w:t>（5）未确认递延所得税资产的可抵扣亏损将于以下年度到期</w:t>
      </w:r>
      <w:bookmarkEnd w:id="205"/>
    </w:p>
    <w:p w14:paraId="10B64F11">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63295E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C5BDDD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年份</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F7EBD5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45FAB0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E11BCF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备注</w:t>
            </w:r>
          </w:p>
        </w:tc>
      </w:tr>
      <w:tr w14:paraId="1CDA80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B05E4E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2025年度</w:t>
            </w:r>
          </w:p>
        </w:tc>
        <w:tc>
          <w:tcPr>
            <w:tcW w:w="2410" w:type="dxa"/>
            <w:tcBorders>
              <w:top w:val="single" w:color="auto" w:sz="2" w:space="0"/>
              <w:left w:val="single" w:color="auto" w:sz="2" w:space="0"/>
              <w:bottom w:val="single" w:color="auto" w:sz="2" w:space="0"/>
              <w:right w:val="single" w:color="auto" w:sz="2" w:space="0"/>
            </w:tcBorders>
            <w:vAlign w:val="center"/>
          </w:tcPr>
          <w:p w14:paraId="15BB90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36,588,656.65</w:t>
            </w:r>
          </w:p>
        </w:tc>
        <w:tc>
          <w:tcPr>
            <w:tcW w:w="2410" w:type="dxa"/>
            <w:tcBorders>
              <w:top w:val="single" w:color="auto" w:sz="2" w:space="0"/>
              <w:left w:val="single" w:color="auto" w:sz="2" w:space="0"/>
              <w:bottom w:val="single" w:color="auto" w:sz="2" w:space="0"/>
              <w:right w:val="single" w:color="auto" w:sz="2" w:space="0"/>
            </w:tcBorders>
            <w:vAlign w:val="center"/>
          </w:tcPr>
          <w:p w14:paraId="226892F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36,588,656.65</w:t>
            </w:r>
          </w:p>
        </w:tc>
        <w:tc>
          <w:tcPr>
            <w:tcW w:w="2410" w:type="dxa"/>
            <w:tcBorders>
              <w:top w:val="single" w:color="auto" w:sz="2" w:space="0"/>
              <w:left w:val="single" w:color="auto" w:sz="2" w:space="0"/>
              <w:bottom w:val="single" w:color="auto" w:sz="2" w:space="0"/>
              <w:right w:val="single" w:color="auto" w:sz="2" w:space="0"/>
            </w:tcBorders>
            <w:vAlign w:val="center"/>
          </w:tcPr>
          <w:p w14:paraId="1276A260">
            <w:pPr>
              <w:spacing w:before="0" w:after="0" w:line="240" w:lineRule="exact"/>
              <w:jc w:val="left"/>
              <w:rPr>
                <w:rFonts w:ascii="宋体" w:hAnsi="宋体" w:eastAsia="宋体" w:cs="宋体"/>
                <w:color w:val="auto"/>
                <w:sz w:val="18"/>
                <w:szCs w:val="18"/>
              </w:rPr>
            </w:pPr>
          </w:p>
        </w:tc>
      </w:tr>
      <w:tr w14:paraId="52E1E4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4E7F21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2026年度</w:t>
            </w:r>
          </w:p>
        </w:tc>
        <w:tc>
          <w:tcPr>
            <w:tcW w:w="2410" w:type="dxa"/>
            <w:tcBorders>
              <w:top w:val="single" w:color="auto" w:sz="2" w:space="0"/>
              <w:left w:val="single" w:color="auto" w:sz="2" w:space="0"/>
              <w:bottom w:val="single" w:color="auto" w:sz="2" w:space="0"/>
              <w:right w:val="single" w:color="auto" w:sz="2" w:space="0"/>
            </w:tcBorders>
            <w:vAlign w:val="center"/>
          </w:tcPr>
          <w:p w14:paraId="08625A5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132,072,417.90</w:t>
            </w:r>
          </w:p>
        </w:tc>
        <w:tc>
          <w:tcPr>
            <w:tcW w:w="2410" w:type="dxa"/>
            <w:tcBorders>
              <w:top w:val="single" w:color="auto" w:sz="2" w:space="0"/>
              <w:left w:val="single" w:color="auto" w:sz="2" w:space="0"/>
              <w:bottom w:val="single" w:color="auto" w:sz="2" w:space="0"/>
              <w:right w:val="single" w:color="auto" w:sz="2" w:space="0"/>
            </w:tcBorders>
            <w:vAlign w:val="center"/>
          </w:tcPr>
          <w:p w14:paraId="2FA6FC4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132,072,417.90</w:t>
            </w:r>
          </w:p>
        </w:tc>
        <w:tc>
          <w:tcPr>
            <w:tcW w:w="2410" w:type="dxa"/>
            <w:tcBorders>
              <w:top w:val="single" w:color="auto" w:sz="2" w:space="0"/>
              <w:left w:val="single" w:color="auto" w:sz="2" w:space="0"/>
              <w:bottom w:val="single" w:color="auto" w:sz="2" w:space="0"/>
              <w:right w:val="single" w:color="auto" w:sz="2" w:space="0"/>
            </w:tcBorders>
            <w:vAlign w:val="center"/>
          </w:tcPr>
          <w:p w14:paraId="7EF67D7D">
            <w:pPr>
              <w:spacing w:before="0" w:after="0" w:line="240" w:lineRule="exact"/>
              <w:jc w:val="left"/>
              <w:rPr>
                <w:rFonts w:ascii="宋体" w:hAnsi="宋体" w:eastAsia="宋体" w:cs="宋体"/>
                <w:color w:val="auto"/>
                <w:sz w:val="18"/>
                <w:szCs w:val="18"/>
              </w:rPr>
            </w:pPr>
          </w:p>
        </w:tc>
      </w:tr>
      <w:tr w14:paraId="7305A0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8D5041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2027年度</w:t>
            </w:r>
          </w:p>
        </w:tc>
        <w:tc>
          <w:tcPr>
            <w:tcW w:w="2410" w:type="dxa"/>
            <w:tcBorders>
              <w:top w:val="single" w:color="auto" w:sz="2" w:space="0"/>
              <w:left w:val="single" w:color="auto" w:sz="2" w:space="0"/>
              <w:bottom w:val="single" w:color="auto" w:sz="2" w:space="0"/>
              <w:right w:val="single" w:color="auto" w:sz="2" w:space="0"/>
            </w:tcBorders>
            <w:vAlign w:val="center"/>
          </w:tcPr>
          <w:p w14:paraId="0F4214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214,878,412.98</w:t>
            </w:r>
          </w:p>
        </w:tc>
        <w:tc>
          <w:tcPr>
            <w:tcW w:w="2410" w:type="dxa"/>
            <w:tcBorders>
              <w:top w:val="single" w:color="auto" w:sz="2" w:space="0"/>
              <w:left w:val="single" w:color="auto" w:sz="2" w:space="0"/>
              <w:bottom w:val="single" w:color="auto" w:sz="2" w:space="0"/>
              <w:right w:val="single" w:color="auto" w:sz="2" w:space="0"/>
            </w:tcBorders>
            <w:vAlign w:val="center"/>
          </w:tcPr>
          <w:p w14:paraId="6F45A3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214,878,412.98</w:t>
            </w:r>
          </w:p>
        </w:tc>
        <w:tc>
          <w:tcPr>
            <w:tcW w:w="2410" w:type="dxa"/>
            <w:tcBorders>
              <w:top w:val="single" w:color="auto" w:sz="2" w:space="0"/>
              <w:left w:val="single" w:color="auto" w:sz="2" w:space="0"/>
              <w:bottom w:val="single" w:color="auto" w:sz="2" w:space="0"/>
              <w:right w:val="single" w:color="auto" w:sz="2" w:space="0"/>
            </w:tcBorders>
            <w:vAlign w:val="center"/>
          </w:tcPr>
          <w:p w14:paraId="40C6F410">
            <w:pPr>
              <w:spacing w:before="0" w:after="0" w:line="240" w:lineRule="exact"/>
              <w:jc w:val="left"/>
              <w:rPr>
                <w:rFonts w:ascii="宋体" w:hAnsi="宋体" w:eastAsia="宋体" w:cs="宋体"/>
                <w:color w:val="auto"/>
                <w:sz w:val="18"/>
                <w:szCs w:val="18"/>
              </w:rPr>
            </w:pPr>
          </w:p>
        </w:tc>
      </w:tr>
      <w:tr w14:paraId="58A0D4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1276AC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2028年度</w:t>
            </w:r>
          </w:p>
        </w:tc>
        <w:tc>
          <w:tcPr>
            <w:tcW w:w="2410" w:type="dxa"/>
            <w:tcBorders>
              <w:top w:val="single" w:color="auto" w:sz="2" w:space="0"/>
              <w:left w:val="single" w:color="auto" w:sz="2" w:space="0"/>
              <w:bottom w:val="single" w:color="auto" w:sz="2" w:space="0"/>
              <w:right w:val="single" w:color="auto" w:sz="2" w:space="0"/>
            </w:tcBorders>
            <w:vAlign w:val="center"/>
          </w:tcPr>
          <w:p w14:paraId="54254C9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297,246,020.07</w:t>
            </w:r>
          </w:p>
        </w:tc>
        <w:tc>
          <w:tcPr>
            <w:tcW w:w="2410" w:type="dxa"/>
            <w:tcBorders>
              <w:top w:val="single" w:color="auto" w:sz="2" w:space="0"/>
              <w:left w:val="single" w:color="auto" w:sz="2" w:space="0"/>
              <w:bottom w:val="single" w:color="auto" w:sz="2" w:space="0"/>
              <w:right w:val="single" w:color="auto" w:sz="2" w:space="0"/>
            </w:tcBorders>
            <w:vAlign w:val="center"/>
          </w:tcPr>
          <w:p w14:paraId="0F6DBBF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297,246,020.07</w:t>
            </w:r>
          </w:p>
        </w:tc>
        <w:tc>
          <w:tcPr>
            <w:tcW w:w="2410" w:type="dxa"/>
            <w:tcBorders>
              <w:top w:val="single" w:color="auto" w:sz="2" w:space="0"/>
              <w:left w:val="single" w:color="auto" w:sz="2" w:space="0"/>
              <w:bottom w:val="single" w:color="auto" w:sz="2" w:space="0"/>
              <w:right w:val="single" w:color="auto" w:sz="2" w:space="0"/>
            </w:tcBorders>
            <w:vAlign w:val="center"/>
          </w:tcPr>
          <w:p w14:paraId="5EFA3309">
            <w:pPr>
              <w:spacing w:before="0" w:after="0" w:line="240" w:lineRule="exact"/>
              <w:jc w:val="left"/>
              <w:rPr>
                <w:rFonts w:ascii="宋体" w:hAnsi="宋体" w:eastAsia="宋体" w:cs="宋体"/>
                <w:color w:val="auto"/>
                <w:sz w:val="18"/>
                <w:szCs w:val="18"/>
              </w:rPr>
            </w:pPr>
          </w:p>
        </w:tc>
      </w:tr>
      <w:tr w14:paraId="3E12C1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FE1073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2029年度</w:t>
            </w:r>
          </w:p>
        </w:tc>
        <w:tc>
          <w:tcPr>
            <w:tcW w:w="2410" w:type="dxa"/>
            <w:tcBorders>
              <w:top w:val="single" w:color="auto" w:sz="2" w:space="0"/>
              <w:left w:val="single" w:color="auto" w:sz="2" w:space="0"/>
              <w:bottom w:val="single" w:color="auto" w:sz="2" w:space="0"/>
              <w:right w:val="single" w:color="auto" w:sz="2" w:space="0"/>
            </w:tcBorders>
            <w:vAlign w:val="center"/>
          </w:tcPr>
          <w:p w14:paraId="516444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258,200,039.75</w:t>
            </w:r>
          </w:p>
        </w:tc>
        <w:tc>
          <w:tcPr>
            <w:tcW w:w="2410" w:type="dxa"/>
            <w:tcBorders>
              <w:top w:val="single" w:color="auto" w:sz="2" w:space="0"/>
              <w:left w:val="single" w:color="auto" w:sz="2" w:space="0"/>
              <w:bottom w:val="single" w:color="auto" w:sz="2" w:space="0"/>
              <w:right w:val="single" w:color="auto" w:sz="2" w:space="0"/>
            </w:tcBorders>
            <w:vAlign w:val="center"/>
          </w:tcPr>
          <w:p w14:paraId="1F6987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183,309,820.52</w:t>
            </w:r>
          </w:p>
        </w:tc>
        <w:tc>
          <w:tcPr>
            <w:tcW w:w="2410" w:type="dxa"/>
            <w:tcBorders>
              <w:top w:val="single" w:color="auto" w:sz="2" w:space="0"/>
              <w:left w:val="single" w:color="auto" w:sz="2" w:space="0"/>
              <w:bottom w:val="single" w:color="auto" w:sz="2" w:space="0"/>
              <w:right w:val="single" w:color="auto" w:sz="2" w:space="0"/>
            </w:tcBorders>
            <w:vAlign w:val="center"/>
          </w:tcPr>
          <w:p w14:paraId="3DAA1E88">
            <w:pPr>
              <w:spacing w:before="0" w:after="0" w:line="240" w:lineRule="exact"/>
              <w:jc w:val="left"/>
              <w:rPr>
                <w:rFonts w:ascii="宋体" w:hAnsi="宋体" w:eastAsia="宋体" w:cs="宋体"/>
                <w:color w:val="auto"/>
                <w:sz w:val="18"/>
                <w:szCs w:val="18"/>
              </w:rPr>
            </w:pPr>
          </w:p>
        </w:tc>
      </w:tr>
      <w:tr w14:paraId="39B2F1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EFD8A9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1EE8EC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938,985,547.35</w:t>
            </w:r>
          </w:p>
        </w:tc>
        <w:tc>
          <w:tcPr>
            <w:tcW w:w="2410" w:type="dxa"/>
            <w:tcBorders>
              <w:top w:val="single" w:color="auto" w:sz="2" w:space="0"/>
              <w:left w:val="single" w:color="auto" w:sz="2" w:space="0"/>
              <w:bottom w:val="single" w:color="auto" w:sz="2" w:space="0"/>
              <w:right w:val="single" w:color="auto" w:sz="2" w:space="0"/>
            </w:tcBorders>
            <w:vAlign w:val="center"/>
          </w:tcPr>
          <w:p w14:paraId="44D486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864,095,328.12</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91A13AA">
            <w:pPr>
              <w:rPr>
                <w:color w:val="auto"/>
              </w:rPr>
            </w:pPr>
          </w:p>
        </w:tc>
      </w:tr>
    </w:tbl>
    <w:p w14:paraId="4DBDDFE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197CE36">
      <w:pPr>
        <w:keepNext/>
        <w:keepLines/>
        <w:spacing w:before="300" w:after="300" w:line="280" w:lineRule="exact"/>
        <w:jc w:val="left"/>
        <w:outlineLvl w:val="2"/>
        <w:rPr>
          <w:rFonts w:ascii="宋体" w:hAnsi="宋体" w:eastAsia="宋体" w:cs="宋体"/>
          <w:b/>
          <w:bCs/>
          <w:color w:val="auto"/>
          <w:sz w:val="21"/>
          <w:szCs w:val="21"/>
        </w:rPr>
      </w:pPr>
      <w:bookmarkStart w:id="206" w:name="_Toc989182"/>
      <w:r>
        <w:rPr>
          <w:rFonts w:ascii="宋体" w:hAnsi="宋体" w:eastAsia="宋体" w:cs="宋体"/>
          <w:b/>
          <w:bCs/>
          <w:color w:val="auto"/>
          <w:sz w:val="21"/>
          <w:szCs w:val="21"/>
        </w:rPr>
        <w:t>30、其他非流动资产</w:t>
      </w:r>
      <w:bookmarkEnd w:id="206"/>
    </w:p>
    <w:p w14:paraId="3F1EC35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4958E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F35547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8FC46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07173B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46C0C9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277A8A3">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83B61C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1C511B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4D3FF1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27CBF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BA9CFD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BD0261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645869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F70074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预付工程设备款</w:t>
            </w:r>
          </w:p>
        </w:tc>
        <w:tc>
          <w:tcPr>
            <w:tcW w:w="1377" w:type="dxa"/>
            <w:tcBorders>
              <w:top w:val="single" w:color="auto" w:sz="2" w:space="0"/>
              <w:left w:val="single" w:color="auto" w:sz="2" w:space="0"/>
              <w:bottom w:val="single" w:color="auto" w:sz="2" w:space="0"/>
              <w:right w:val="single" w:color="auto" w:sz="2" w:space="0"/>
            </w:tcBorders>
            <w:vAlign w:val="center"/>
          </w:tcPr>
          <w:p w14:paraId="3B560A0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126,878.01</w:t>
            </w:r>
          </w:p>
        </w:tc>
        <w:tc>
          <w:tcPr>
            <w:tcW w:w="1377" w:type="dxa"/>
            <w:tcBorders>
              <w:top w:val="single" w:color="auto" w:sz="2" w:space="0"/>
              <w:left w:val="single" w:color="auto" w:sz="2" w:space="0"/>
              <w:bottom w:val="single" w:color="auto" w:sz="2" w:space="0"/>
              <w:right w:val="single" w:color="auto" w:sz="2" w:space="0"/>
            </w:tcBorders>
            <w:vAlign w:val="center"/>
          </w:tcPr>
          <w:p w14:paraId="24F570B1">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C1A91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126,878.01</w:t>
            </w:r>
          </w:p>
        </w:tc>
        <w:tc>
          <w:tcPr>
            <w:tcW w:w="1377" w:type="dxa"/>
            <w:tcBorders>
              <w:top w:val="single" w:color="auto" w:sz="2" w:space="0"/>
              <w:left w:val="single" w:color="auto" w:sz="2" w:space="0"/>
              <w:bottom w:val="single" w:color="auto" w:sz="2" w:space="0"/>
              <w:right w:val="single" w:color="auto" w:sz="2" w:space="0"/>
            </w:tcBorders>
            <w:vAlign w:val="center"/>
          </w:tcPr>
          <w:p w14:paraId="1A8F81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62,198.72</w:t>
            </w:r>
          </w:p>
        </w:tc>
        <w:tc>
          <w:tcPr>
            <w:tcW w:w="1377" w:type="dxa"/>
            <w:tcBorders>
              <w:top w:val="single" w:color="auto" w:sz="2" w:space="0"/>
              <w:left w:val="single" w:color="auto" w:sz="2" w:space="0"/>
              <w:bottom w:val="single" w:color="auto" w:sz="2" w:space="0"/>
              <w:right w:val="single" w:color="auto" w:sz="2" w:space="0"/>
            </w:tcBorders>
            <w:vAlign w:val="center"/>
          </w:tcPr>
          <w:p w14:paraId="773837E5">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278B95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62,198.72</w:t>
            </w:r>
          </w:p>
        </w:tc>
      </w:tr>
      <w:tr w14:paraId="460A8D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9FAFF9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预付纳税履约保证金</w:t>
            </w:r>
          </w:p>
        </w:tc>
        <w:tc>
          <w:tcPr>
            <w:tcW w:w="1377" w:type="dxa"/>
            <w:tcBorders>
              <w:top w:val="single" w:color="auto" w:sz="2" w:space="0"/>
              <w:left w:val="single" w:color="auto" w:sz="2" w:space="0"/>
              <w:bottom w:val="single" w:color="auto" w:sz="2" w:space="0"/>
              <w:right w:val="single" w:color="auto" w:sz="2" w:space="0"/>
            </w:tcBorders>
            <w:vAlign w:val="center"/>
          </w:tcPr>
          <w:p w14:paraId="64C770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8,000,000.00</w:t>
            </w:r>
          </w:p>
        </w:tc>
        <w:tc>
          <w:tcPr>
            <w:tcW w:w="1377" w:type="dxa"/>
            <w:tcBorders>
              <w:top w:val="single" w:color="auto" w:sz="2" w:space="0"/>
              <w:left w:val="single" w:color="auto" w:sz="2" w:space="0"/>
              <w:bottom w:val="single" w:color="auto" w:sz="2" w:space="0"/>
              <w:right w:val="single" w:color="auto" w:sz="2" w:space="0"/>
            </w:tcBorders>
            <w:vAlign w:val="center"/>
          </w:tcPr>
          <w:p w14:paraId="5F4DD26C">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374F90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8,000,000.00</w:t>
            </w:r>
          </w:p>
        </w:tc>
        <w:tc>
          <w:tcPr>
            <w:tcW w:w="1377" w:type="dxa"/>
            <w:tcBorders>
              <w:top w:val="single" w:color="auto" w:sz="2" w:space="0"/>
              <w:left w:val="single" w:color="auto" w:sz="2" w:space="0"/>
              <w:bottom w:val="single" w:color="auto" w:sz="2" w:space="0"/>
              <w:right w:val="single" w:color="auto" w:sz="2" w:space="0"/>
            </w:tcBorders>
            <w:vAlign w:val="center"/>
          </w:tcPr>
          <w:p w14:paraId="7B46E29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8,000,000.00</w:t>
            </w:r>
          </w:p>
        </w:tc>
        <w:tc>
          <w:tcPr>
            <w:tcW w:w="1377" w:type="dxa"/>
            <w:tcBorders>
              <w:top w:val="single" w:color="auto" w:sz="2" w:space="0"/>
              <w:left w:val="single" w:color="auto" w:sz="2" w:space="0"/>
              <w:bottom w:val="single" w:color="auto" w:sz="2" w:space="0"/>
              <w:right w:val="single" w:color="auto" w:sz="2" w:space="0"/>
            </w:tcBorders>
            <w:vAlign w:val="center"/>
          </w:tcPr>
          <w:p w14:paraId="4626498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0852A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8,000,000.00</w:t>
            </w:r>
          </w:p>
        </w:tc>
      </w:tr>
      <w:tr w14:paraId="362B3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A94753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预付专利款</w:t>
            </w:r>
          </w:p>
        </w:tc>
        <w:tc>
          <w:tcPr>
            <w:tcW w:w="1377" w:type="dxa"/>
            <w:tcBorders>
              <w:top w:val="single" w:color="auto" w:sz="2" w:space="0"/>
              <w:left w:val="single" w:color="auto" w:sz="2" w:space="0"/>
              <w:bottom w:val="single" w:color="auto" w:sz="2" w:space="0"/>
              <w:right w:val="single" w:color="auto" w:sz="2" w:space="0"/>
            </w:tcBorders>
            <w:vAlign w:val="center"/>
          </w:tcPr>
          <w:p w14:paraId="25A83E7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1,216,981.13</w:t>
            </w:r>
          </w:p>
        </w:tc>
        <w:tc>
          <w:tcPr>
            <w:tcW w:w="1377" w:type="dxa"/>
            <w:tcBorders>
              <w:top w:val="single" w:color="auto" w:sz="2" w:space="0"/>
              <w:left w:val="single" w:color="auto" w:sz="2" w:space="0"/>
              <w:bottom w:val="single" w:color="auto" w:sz="2" w:space="0"/>
              <w:right w:val="single" w:color="auto" w:sz="2" w:space="0"/>
            </w:tcBorders>
            <w:vAlign w:val="center"/>
          </w:tcPr>
          <w:p w14:paraId="6E1A7F75">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5408D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1,216,981.13</w:t>
            </w:r>
          </w:p>
        </w:tc>
        <w:tc>
          <w:tcPr>
            <w:tcW w:w="1377" w:type="dxa"/>
            <w:tcBorders>
              <w:top w:val="single" w:color="auto" w:sz="2" w:space="0"/>
              <w:left w:val="single" w:color="auto" w:sz="2" w:space="0"/>
              <w:bottom w:val="single" w:color="auto" w:sz="2" w:space="0"/>
              <w:right w:val="single" w:color="auto" w:sz="2" w:space="0"/>
            </w:tcBorders>
            <w:vAlign w:val="center"/>
          </w:tcPr>
          <w:p w14:paraId="6A23385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85A2023">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7A18B8E">
            <w:pPr>
              <w:spacing w:before="0" w:after="0" w:line="240" w:lineRule="exact"/>
              <w:jc w:val="right"/>
              <w:rPr>
                <w:rFonts w:ascii="宋体" w:hAnsi="宋体" w:eastAsia="宋体" w:cs="宋体"/>
                <w:color w:val="auto"/>
                <w:sz w:val="18"/>
                <w:szCs w:val="18"/>
              </w:rPr>
            </w:pPr>
          </w:p>
        </w:tc>
      </w:tr>
      <w:tr w14:paraId="4D8451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701981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44B4E0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9,343,859.14</w:t>
            </w:r>
          </w:p>
        </w:tc>
        <w:tc>
          <w:tcPr>
            <w:tcW w:w="1377" w:type="dxa"/>
            <w:tcBorders>
              <w:top w:val="single" w:color="auto" w:sz="2" w:space="0"/>
              <w:left w:val="single" w:color="auto" w:sz="2" w:space="0"/>
              <w:bottom w:val="single" w:color="auto" w:sz="2" w:space="0"/>
              <w:right w:val="single" w:color="auto" w:sz="2" w:space="0"/>
            </w:tcBorders>
            <w:vAlign w:val="center"/>
          </w:tcPr>
          <w:p w14:paraId="199591BC">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9FB658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9,343,859.14</w:t>
            </w:r>
          </w:p>
        </w:tc>
        <w:tc>
          <w:tcPr>
            <w:tcW w:w="1377" w:type="dxa"/>
            <w:tcBorders>
              <w:top w:val="single" w:color="auto" w:sz="2" w:space="0"/>
              <w:left w:val="single" w:color="auto" w:sz="2" w:space="0"/>
              <w:bottom w:val="single" w:color="auto" w:sz="2" w:space="0"/>
              <w:right w:val="single" w:color="auto" w:sz="2" w:space="0"/>
            </w:tcBorders>
            <w:vAlign w:val="center"/>
          </w:tcPr>
          <w:p w14:paraId="3E95628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8,062,198.72</w:t>
            </w:r>
          </w:p>
        </w:tc>
        <w:tc>
          <w:tcPr>
            <w:tcW w:w="1377" w:type="dxa"/>
            <w:tcBorders>
              <w:top w:val="single" w:color="auto" w:sz="2" w:space="0"/>
              <w:left w:val="single" w:color="auto" w:sz="2" w:space="0"/>
              <w:bottom w:val="single" w:color="auto" w:sz="2" w:space="0"/>
              <w:right w:val="single" w:color="auto" w:sz="2" w:space="0"/>
            </w:tcBorders>
            <w:vAlign w:val="center"/>
          </w:tcPr>
          <w:p w14:paraId="668C94C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741DB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8,062,198.72</w:t>
            </w:r>
          </w:p>
        </w:tc>
      </w:tr>
    </w:tbl>
    <w:p w14:paraId="746620E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8DA90AF">
      <w:pPr>
        <w:keepNext/>
        <w:keepLines/>
        <w:spacing w:before="300" w:after="300" w:line="280" w:lineRule="exact"/>
        <w:jc w:val="left"/>
        <w:outlineLvl w:val="2"/>
        <w:rPr>
          <w:rFonts w:ascii="宋体" w:hAnsi="宋体" w:eastAsia="宋体" w:cs="宋体"/>
          <w:b/>
          <w:bCs/>
          <w:color w:val="auto"/>
          <w:sz w:val="21"/>
          <w:szCs w:val="21"/>
        </w:rPr>
      </w:pPr>
      <w:bookmarkStart w:id="207" w:name="_Toc989183"/>
      <w:r>
        <w:rPr>
          <w:rFonts w:ascii="宋体" w:hAnsi="宋体" w:eastAsia="宋体" w:cs="宋体"/>
          <w:b/>
          <w:bCs/>
          <w:color w:val="auto"/>
          <w:sz w:val="21"/>
          <w:szCs w:val="21"/>
        </w:rPr>
        <w:t>31、所有权或使用权受到限制的资产</w:t>
      </w:r>
      <w:bookmarkEnd w:id="207"/>
    </w:p>
    <w:p w14:paraId="0CB8F57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386E7A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E80437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70E747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B8D93C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w:t>
            </w:r>
          </w:p>
        </w:tc>
      </w:tr>
      <w:tr w14:paraId="0EBA0D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9B709D0">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DEF93B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10F4A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934C31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受限类型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BE679B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受限情况</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FDFC33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EF0B7A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897358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受限类型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30C2F1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受限情况</w:t>
            </w:r>
          </w:p>
        </w:tc>
      </w:tr>
      <w:tr w14:paraId="4DCFE5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6CE03C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货币资金</w:t>
            </w:r>
          </w:p>
        </w:tc>
        <w:tc>
          <w:tcPr>
            <w:tcW w:w="1071" w:type="dxa"/>
            <w:tcBorders>
              <w:top w:val="single" w:color="auto" w:sz="2" w:space="0"/>
              <w:left w:val="single" w:color="auto" w:sz="2" w:space="0"/>
              <w:bottom w:val="single" w:color="auto" w:sz="2" w:space="0"/>
              <w:right w:val="single" w:color="auto" w:sz="2" w:space="0"/>
            </w:tcBorders>
            <w:vAlign w:val="center"/>
          </w:tcPr>
          <w:p w14:paraId="143029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3,344,608.55</w:t>
            </w:r>
          </w:p>
        </w:tc>
        <w:tc>
          <w:tcPr>
            <w:tcW w:w="1071" w:type="dxa"/>
            <w:tcBorders>
              <w:top w:val="single" w:color="auto" w:sz="2" w:space="0"/>
              <w:left w:val="single" w:color="auto" w:sz="2" w:space="0"/>
              <w:bottom w:val="single" w:color="auto" w:sz="2" w:space="0"/>
              <w:right w:val="single" w:color="auto" w:sz="2" w:space="0"/>
            </w:tcBorders>
            <w:vAlign w:val="center"/>
          </w:tcPr>
          <w:p w14:paraId="04C0C00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3,344,608.55</w:t>
            </w:r>
          </w:p>
        </w:tc>
        <w:tc>
          <w:tcPr>
            <w:tcW w:w="1071" w:type="dxa"/>
            <w:tcBorders>
              <w:top w:val="single" w:color="auto" w:sz="2" w:space="0"/>
              <w:left w:val="single" w:color="auto" w:sz="2" w:space="0"/>
              <w:bottom w:val="single" w:color="auto" w:sz="2" w:space="0"/>
              <w:right w:val="single" w:color="auto" w:sz="2" w:space="0"/>
            </w:tcBorders>
            <w:vAlign w:val="center"/>
          </w:tcPr>
          <w:p w14:paraId="3EA21FD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冻结的银行存款</w:t>
            </w:r>
          </w:p>
        </w:tc>
        <w:tc>
          <w:tcPr>
            <w:tcW w:w="1071" w:type="dxa"/>
            <w:tcBorders>
              <w:top w:val="single" w:color="auto" w:sz="2" w:space="0"/>
              <w:left w:val="single" w:color="auto" w:sz="2" w:space="0"/>
              <w:bottom w:val="single" w:color="auto" w:sz="2" w:space="0"/>
              <w:right w:val="single" w:color="auto" w:sz="2" w:space="0"/>
            </w:tcBorders>
            <w:vAlign w:val="center"/>
          </w:tcPr>
          <w:p w14:paraId="2307BE32">
            <w:pPr>
              <w:spacing w:before="0" w:after="0" w:line="240" w:lineRule="exact"/>
              <w:jc w:val="left"/>
              <w:rPr>
                <w:rFonts w:hint="eastAsia" w:ascii="宋体" w:hAnsi="宋体" w:eastAsia="宋体" w:cs="宋体"/>
                <w:color w:val="auto"/>
                <w:sz w:val="18"/>
                <w:szCs w:val="18"/>
                <w:lang w:val="en-US" w:eastAsia="zh-CN"/>
              </w:rPr>
            </w:pPr>
            <w:r>
              <w:rPr>
                <w:rFonts w:ascii="宋体" w:hAnsi="宋体" w:eastAsia="宋体" w:cs="宋体"/>
                <w:color w:val="auto"/>
                <w:sz w:val="18"/>
                <w:szCs w:val="18"/>
              </w:rPr>
              <w:t>劳务纠纷</w:t>
            </w:r>
            <w:r>
              <w:rPr>
                <w:rFonts w:hint="eastAsia" w:ascii="宋体" w:hAnsi="宋体" w:cs="宋体"/>
                <w:color w:val="auto"/>
                <w:sz w:val="18"/>
                <w:szCs w:val="18"/>
                <w:lang w:val="en-US" w:eastAsia="zh-CN"/>
              </w:rPr>
              <w:t>等</w:t>
            </w:r>
          </w:p>
        </w:tc>
        <w:tc>
          <w:tcPr>
            <w:tcW w:w="1071" w:type="dxa"/>
            <w:tcBorders>
              <w:top w:val="single" w:color="auto" w:sz="2" w:space="0"/>
              <w:left w:val="single" w:color="auto" w:sz="2" w:space="0"/>
              <w:bottom w:val="single" w:color="auto" w:sz="2" w:space="0"/>
              <w:right w:val="single" w:color="auto" w:sz="2" w:space="0"/>
            </w:tcBorders>
            <w:vAlign w:val="center"/>
          </w:tcPr>
          <w:p w14:paraId="2A4AD10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795,608.55</w:t>
            </w:r>
          </w:p>
        </w:tc>
        <w:tc>
          <w:tcPr>
            <w:tcW w:w="1071" w:type="dxa"/>
            <w:tcBorders>
              <w:top w:val="single" w:color="auto" w:sz="2" w:space="0"/>
              <w:left w:val="single" w:color="auto" w:sz="2" w:space="0"/>
              <w:bottom w:val="single" w:color="auto" w:sz="2" w:space="0"/>
              <w:right w:val="single" w:color="auto" w:sz="2" w:space="0"/>
            </w:tcBorders>
            <w:vAlign w:val="center"/>
          </w:tcPr>
          <w:p w14:paraId="4D1F171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795,608.55</w:t>
            </w:r>
          </w:p>
        </w:tc>
        <w:tc>
          <w:tcPr>
            <w:tcW w:w="1071" w:type="dxa"/>
            <w:tcBorders>
              <w:top w:val="single" w:color="auto" w:sz="2" w:space="0"/>
              <w:left w:val="single" w:color="auto" w:sz="2" w:space="0"/>
              <w:bottom w:val="single" w:color="auto" w:sz="2" w:space="0"/>
              <w:right w:val="single" w:color="auto" w:sz="2" w:space="0"/>
            </w:tcBorders>
            <w:vAlign w:val="center"/>
          </w:tcPr>
          <w:p w14:paraId="65B1256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冻结的银行存款</w:t>
            </w:r>
          </w:p>
        </w:tc>
        <w:tc>
          <w:tcPr>
            <w:tcW w:w="1071" w:type="dxa"/>
            <w:tcBorders>
              <w:top w:val="single" w:color="auto" w:sz="2" w:space="0"/>
              <w:left w:val="single" w:color="auto" w:sz="2" w:space="0"/>
              <w:bottom w:val="single" w:color="auto" w:sz="2" w:space="0"/>
              <w:right w:val="single" w:color="auto" w:sz="2" w:space="0"/>
            </w:tcBorders>
            <w:vAlign w:val="center"/>
          </w:tcPr>
          <w:p w14:paraId="479E32C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劳务纠纷</w:t>
            </w:r>
          </w:p>
        </w:tc>
      </w:tr>
      <w:tr w14:paraId="29822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F62F12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货币资金</w:t>
            </w:r>
          </w:p>
        </w:tc>
        <w:tc>
          <w:tcPr>
            <w:tcW w:w="1071" w:type="dxa"/>
            <w:tcBorders>
              <w:top w:val="single" w:color="auto" w:sz="2" w:space="0"/>
              <w:left w:val="single" w:color="auto" w:sz="2" w:space="0"/>
              <w:bottom w:val="single" w:color="auto" w:sz="2" w:space="0"/>
              <w:right w:val="single" w:color="auto" w:sz="2" w:space="0"/>
            </w:tcBorders>
            <w:vAlign w:val="center"/>
          </w:tcPr>
          <w:p w14:paraId="525F31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200,000.00</w:t>
            </w:r>
          </w:p>
        </w:tc>
        <w:tc>
          <w:tcPr>
            <w:tcW w:w="1071" w:type="dxa"/>
            <w:tcBorders>
              <w:top w:val="single" w:color="auto" w:sz="2" w:space="0"/>
              <w:left w:val="single" w:color="auto" w:sz="2" w:space="0"/>
              <w:bottom w:val="single" w:color="auto" w:sz="2" w:space="0"/>
              <w:right w:val="single" w:color="auto" w:sz="2" w:space="0"/>
            </w:tcBorders>
            <w:vAlign w:val="center"/>
          </w:tcPr>
          <w:p w14:paraId="73C3C4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200,000.00</w:t>
            </w:r>
          </w:p>
        </w:tc>
        <w:tc>
          <w:tcPr>
            <w:tcW w:w="1071" w:type="dxa"/>
            <w:tcBorders>
              <w:top w:val="single" w:color="auto" w:sz="2" w:space="0"/>
              <w:left w:val="single" w:color="auto" w:sz="2" w:space="0"/>
              <w:bottom w:val="single" w:color="auto" w:sz="2" w:space="0"/>
              <w:right w:val="single" w:color="auto" w:sz="2" w:space="0"/>
            </w:tcBorders>
            <w:vAlign w:val="center"/>
          </w:tcPr>
          <w:p w14:paraId="4CF197B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其他保证金</w:t>
            </w:r>
          </w:p>
        </w:tc>
        <w:tc>
          <w:tcPr>
            <w:tcW w:w="1071" w:type="dxa"/>
            <w:tcBorders>
              <w:top w:val="single" w:color="auto" w:sz="2" w:space="0"/>
              <w:left w:val="single" w:color="auto" w:sz="2" w:space="0"/>
              <w:bottom w:val="single" w:color="auto" w:sz="2" w:space="0"/>
              <w:right w:val="single" w:color="auto" w:sz="2" w:space="0"/>
            </w:tcBorders>
            <w:vAlign w:val="center"/>
          </w:tcPr>
          <w:p w14:paraId="3C468FE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其他保证金</w:t>
            </w:r>
          </w:p>
        </w:tc>
        <w:tc>
          <w:tcPr>
            <w:tcW w:w="1071" w:type="dxa"/>
            <w:tcBorders>
              <w:top w:val="single" w:color="auto" w:sz="2" w:space="0"/>
              <w:left w:val="single" w:color="auto" w:sz="2" w:space="0"/>
              <w:bottom w:val="single" w:color="auto" w:sz="2" w:space="0"/>
              <w:right w:val="single" w:color="auto" w:sz="2" w:space="0"/>
            </w:tcBorders>
            <w:vAlign w:val="center"/>
          </w:tcPr>
          <w:p w14:paraId="3257A02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200,000.00</w:t>
            </w:r>
          </w:p>
        </w:tc>
        <w:tc>
          <w:tcPr>
            <w:tcW w:w="1071" w:type="dxa"/>
            <w:tcBorders>
              <w:top w:val="single" w:color="auto" w:sz="2" w:space="0"/>
              <w:left w:val="single" w:color="auto" w:sz="2" w:space="0"/>
              <w:bottom w:val="single" w:color="auto" w:sz="2" w:space="0"/>
              <w:right w:val="single" w:color="auto" w:sz="2" w:space="0"/>
            </w:tcBorders>
            <w:vAlign w:val="center"/>
          </w:tcPr>
          <w:p w14:paraId="5C55185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200,000.00</w:t>
            </w:r>
          </w:p>
        </w:tc>
        <w:tc>
          <w:tcPr>
            <w:tcW w:w="1071" w:type="dxa"/>
            <w:tcBorders>
              <w:top w:val="single" w:color="auto" w:sz="2" w:space="0"/>
              <w:left w:val="single" w:color="auto" w:sz="2" w:space="0"/>
              <w:bottom w:val="single" w:color="auto" w:sz="2" w:space="0"/>
              <w:right w:val="single" w:color="auto" w:sz="2" w:space="0"/>
            </w:tcBorders>
            <w:vAlign w:val="center"/>
          </w:tcPr>
          <w:p w14:paraId="2063422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其他保证金</w:t>
            </w:r>
          </w:p>
        </w:tc>
        <w:tc>
          <w:tcPr>
            <w:tcW w:w="1071" w:type="dxa"/>
            <w:tcBorders>
              <w:top w:val="single" w:color="auto" w:sz="2" w:space="0"/>
              <w:left w:val="single" w:color="auto" w:sz="2" w:space="0"/>
              <w:bottom w:val="single" w:color="auto" w:sz="2" w:space="0"/>
              <w:right w:val="single" w:color="auto" w:sz="2" w:space="0"/>
            </w:tcBorders>
            <w:vAlign w:val="center"/>
          </w:tcPr>
          <w:p w14:paraId="58D7B46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其他保证金</w:t>
            </w:r>
          </w:p>
        </w:tc>
      </w:tr>
      <w:tr w14:paraId="682FAA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105DF9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固定资产</w:t>
            </w:r>
          </w:p>
        </w:tc>
        <w:tc>
          <w:tcPr>
            <w:tcW w:w="1071" w:type="dxa"/>
            <w:tcBorders>
              <w:top w:val="single" w:color="auto" w:sz="2" w:space="0"/>
              <w:left w:val="single" w:color="auto" w:sz="2" w:space="0"/>
              <w:bottom w:val="single" w:color="auto" w:sz="2" w:space="0"/>
              <w:right w:val="single" w:color="auto" w:sz="2" w:space="0"/>
            </w:tcBorders>
            <w:vAlign w:val="center"/>
          </w:tcPr>
          <w:p w14:paraId="23FF47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437,249,934.10</w:t>
            </w:r>
          </w:p>
        </w:tc>
        <w:tc>
          <w:tcPr>
            <w:tcW w:w="1071" w:type="dxa"/>
            <w:tcBorders>
              <w:top w:val="single" w:color="auto" w:sz="2" w:space="0"/>
              <w:left w:val="single" w:color="auto" w:sz="2" w:space="0"/>
              <w:bottom w:val="single" w:color="auto" w:sz="2" w:space="0"/>
              <w:right w:val="single" w:color="auto" w:sz="2" w:space="0"/>
            </w:tcBorders>
            <w:vAlign w:val="center"/>
          </w:tcPr>
          <w:p w14:paraId="77647D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286,407,244.09</w:t>
            </w:r>
          </w:p>
        </w:tc>
        <w:tc>
          <w:tcPr>
            <w:tcW w:w="1071" w:type="dxa"/>
            <w:tcBorders>
              <w:top w:val="single" w:color="auto" w:sz="2" w:space="0"/>
              <w:left w:val="single" w:color="auto" w:sz="2" w:space="0"/>
              <w:bottom w:val="single" w:color="auto" w:sz="2" w:space="0"/>
              <w:right w:val="single" w:color="auto" w:sz="2" w:space="0"/>
            </w:tcBorders>
            <w:vAlign w:val="center"/>
          </w:tcPr>
          <w:p w14:paraId="319E48E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抵押</w:t>
            </w:r>
          </w:p>
        </w:tc>
        <w:tc>
          <w:tcPr>
            <w:tcW w:w="1071" w:type="dxa"/>
            <w:tcBorders>
              <w:top w:val="single" w:color="auto" w:sz="2" w:space="0"/>
              <w:left w:val="single" w:color="auto" w:sz="2" w:space="0"/>
              <w:bottom w:val="single" w:color="auto" w:sz="2" w:space="0"/>
              <w:right w:val="single" w:color="auto" w:sz="2" w:space="0"/>
            </w:tcBorders>
            <w:vAlign w:val="center"/>
          </w:tcPr>
          <w:p w14:paraId="7972E25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抵押及保证借款详见五、注释19和注释28</w:t>
            </w:r>
          </w:p>
        </w:tc>
        <w:tc>
          <w:tcPr>
            <w:tcW w:w="1071" w:type="dxa"/>
            <w:tcBorders>
              <w:top w:val="single" w:color="auto" w:sz="2" w:space="0"/>
              <w:left w:val="single" w:color="auto" w:sz="2" w:space="0"/>
              <w:bottom w:val="single" w:color="auto" w:sz="2" w:space="0"/>
              <w:right w:val="single" w:color="auto" w:sz="2" w:space="0"/>
            </w:tcBorders>
            <w:vAlign w:val="center"/>
          </w:tcPr>
          <w:p w14:paraId="526853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438,050,827.65</w:t>
            </w:r>
          </w:p>
        </w:tc>
        <w:tc>
          <w:tcPr>
            <w:tcW w:w="1071" w:type="dxa"/>
            <w:tcBorders>
              <w:top w:val="single" w:color="auto" w:sz="2" w:space="0"/>
              <w:left w:val="single" w:color="auto" w:sz="2" w:space="0"/>
              <w:bottom w:val="single" w:color="auto" w:sz="2" w:space="0"/>
              <w:right w:val="single" w:color="auto" w:sz="2" w:space="0"/>
            </w:tcBorders>
            <w:vAlign w:val="center"/>
          </w:tcPr>
          <w:p w14:paraId="41D455D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297,738,092.21</w:t>
            </w:r>
          </w:p>
        </w:tc>
        <w:tc>
          <w:tcPr>
            <w:tcW w:w="1071" w:type="dxa"/>
            <w:tcBorders>
              <w:top w:val="single" w:color="auto" w:sz="2" w:space="0"/>
              <w:left w:val="single" w:color="auto" w:sz="2" w:space="0"/>
              <w:bottom w:val="single" w:color="auto" w:sz="2" w:space="0"/>
              <w:right w:val="single" w:color="auto" w:sz="2" w:space="0"/>
            </w:tcBorders>
            <w:vAlign w:val="center"/>
          </w:tcPr>
          <w:p w14:paraId="7370E8E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抵押</w:t>
            </w:r>
          </w:p>
        </w:tc>
        <w:tc>
          <w:tcPr>
            <w:tcW w:w="1071" w:type="dxa"/>
            <w:tcBorders>
              <w:top w:val="single" w:color="auto" w:sz="2" w:space="0"/>
              <w:left w:val="single" w:color="auto" w:sz="2" w:space="0"/>
              <w:bottom w:val="single" w:color="auto" w:sz="2" w:space="0"/>
              <w:right w:val="single" w:color="auto" w:sz="2" w:space="0"/>
            </w:tcBorders>
            <w:vAlign w:val="center"/>
          </w:tcPr>
          <w:p w14:paraId="2901BD1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抵押及保证借款详见五、注释19和注释28</w:t>
            </w:r>
          </w:p>
        </w:tc>
      </w:tr>
      <w:tr w14:paraId="78A9C3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018660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无形资产</w:t>
            </w:r>
          </w:p>
        </w:tc>
        <w:tc>
          <w:tcPr>
            <w:tcW w:w="1071" w:type="dxa"/>
            <w:tcBorders>
              <w:top w:val="single" w:color="auto" w:sz="2" w:space="0"/>
              <w:left w:val="single" w:color="auto" w:sz="2" w:space="0"/>
              <w:bottom w:val="single" w:color="auto" w:sz="2" w:space="0"/>
              <w:right w:val="single" w:color="auto" w:sz="2" w:space="0"/>
            </w:tcBorders>
            <w:vAlign w:val="center"/>
          </w:tcPr>
          <w:p w14:paraId="652485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50,863,701.74</w:t>
            </w:r>
          </w:p>
        </w:tc>
        <w:tc>
          <w:tcPr>
            <w:tcW w:w="1071" w:type="dxa"/>
            <w:tcBorders>
              <w:top w:val="single" w:color="auto" w:sz="2" w:space="0"/>
              <w:left w:val="single" w:color="auto" w:sz="2" w:space="0"/>
              <w:bottom w:val="single" w:color="auto" w:sz="2" w:space="0"/>
              <w:right w:val="single" w:color="auto" w:sz="2" w:space="0"/>
            </w:tcBorders>
            <w:vAlign w:val="center"/>
          </w:tcPr>
          <w:p w14:paraId="5C214F9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41,232,194.20</w:t>
            </w:r>
          </w:p>
        </w:tc>
        <w:tc>
          <w:tcPr>
            <w:tcW w:w="1071" w:type="dxa"/>
            <w:tcBorders>
              <w:top w:val="single" w:color="auto" w:sz="2" w:space="0"/>
              <w:left w:val="single" w:color="auto" w:sz="2" w:space="0"/>
              <w:bottom w:val="single" w:color="auto" w:sz="2" w:space="0"/>
              <w:right w:val="single" w:color="auto" w:sz="2" w:space="0"/>
            </w:tcBorders>
            <w:vAlign w:val="center"/>
          </w:tcPr>
          <w:p w14:paraId="2F45E53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抵押</w:t>
            </w:r>
          </w:p>
        </w:tc>
        <w:tc>
          <w:tcPr>
            <w:tcW w:w="1071" w:type="dxa"/>
            <w:tcBorders>
              <w:top w:val="single" w:color="auto" w:sz="2" w:space="0"/>
              <w:left w:val="single" w:color="auto" w:sz="2" w:space="0"/>
              <w:bottom w:val="single" w:color="auto" w:sz="2" w:space="0"/>
              <w:right w:val="single" w:color="auto" w:sz="2" w:space="0"/>
            </w:tcBorders>
            <w:vAlign w:val="center"/>
          </w:tcPr>
          <w:p w14:paraId="51CCFAB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抵押及保证借款详见五、注释19和注释28</w:t>
            </w:r>
          </w:p>
        </w:tc>
        <w:tc>
          <w:tcPr>
            <w:tcW w:w="1071" w:type="dxa"/>
            <w:tcBorders>
              <w:top w:val="single" w:color="auto" w:sz="2" w:space="0"/>
              <w:left w:val="single" w:color="auto" w:sz="2" w:space="0"/>
              <w:bottom w:val="single" w:color="auto" w:sz="2" w:space="0"/>
              <w:right w:val="single" w:color="auto" w:sz="2" w:space="0"/>
            </w:tcBorders>
            <w:vAlign w:val="center"/>
          </w:tcPr>
          <w:p w14:paraId="26A4BD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50,863,701.74</w:t>
            </w:r>
          </w:p>
        </w:tc>
        <w:tc>
          <w:tcPr>
            <w:tcW w:w="1071" w:type="dxa"/>
            <w:tcBorders>
              <w:top w:val="single" w:color="auto" w:sz="2" w:space="0"/>
              <w:left w:val="single" w:color="auto" w:sz="2" w:space="0"/>
              <w:bottom w:val="single" w:color="auto" w:sz="2" w:space="0"/>
              <w:right w:val="single" w:color="auto" w:sz="2" w:space="0"/>
            </w:tcBorders>
            <w:vAlign w:val="center"/>
          </w:tcPr>
          <w:p w14:paraId="371276C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40,864,939.93</w:t>
            </w:r>
          </w:p>
        </w:tc>
        <w:tc>
          <w:tcPr>
            <w:tcW w:w="1071" w:type="dxa"/>
            <w:tcBorders>
              <w:top w:val="single" w:color="auto" w:sz="2" w:space="0"/>
              <w:left w:val="single" w:color="auto" w:sz="2" w:space="0"/>
              <w:bottom w:val="single" w:color="auto" w:sz="2" w:space="0"/>
              <w:right w:val="single" w:color="auto" w:sz="2" w:space="0"/>
            </w:tcBorders>
            <w:vAlign w:val="center"/>
          </w:tcPr>
          <w:p w14:paraId="3B4E780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抵押</w:t>
            </w:r>
          </w:p>
        </w:tc>
        <w:tc>
          <w:tcPr>
            <w:tcW w:w="1071" w:type="dxa"/>
            <w:tcBorders>
              <w:top w:val="single" w:color="auto" w:sz="2" w:space="0"/>
              <w:left w:val="single" w:color="auto" w:sz="2" w:space="0"/>
              <w:bottom w:val="single" w:color="auto" w:sz="2" w:space="0"/>
              <w:right w:val="single" w:color="auto" w:sz="2" w:space="0"/>
            </w:tcBorders>
            <w:vAlign w:val="center"/>
          </w:tcPr>
          <w:p w14:paraId="644658A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抵押及保证借款详见五、注释19和注释28</w:t>
            </w:r>
          </w:p>
        </w:tc>
      </w:tr>
      <w:tr w14:paraId="01735D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36903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70D0BC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491,658,244.39</w:t>
            </w:r>
          </w:p>
        </w:tc>
        <w:tc>
          <w:tcPr>
            <w:tcW w:w="1071" w:type="dxa"/>
            <w:tcBorders>
              <w:top w:val="single" w:color="auto" w:sz="2" w:space="0"/>
              <w:left w:val="single" w:color="auto" w:sz="2" w:space="0"/>
              <w:bottom w:val="single" w:color="auto" w:sz="2" w:space="0"/>
              <w:right w:val="single" w:color="auto" w:sz="2" w:space="0"/>
            </w:tcBorders>
            <w:vAlign w:val="center"/>
          </w:tcPr>
          <w:p w14:paraId="70EEFA6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331,184,046.84</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00D229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B2D1B56">
            <w:pPr>
              <w:rPr>
                <w:color w:val="auto"/>
              </w:rPr>
            </w:pPr>
          </w:p>
        </w:tc>
        <w:tc>
          <w:tcPr>
            <w:tcW w:w="1071" w:type="dxa"/>
            <w:tcBorders>
              <w:top w:val="single" w:color="auto" w:sz="2" w:space="0"/>
              <w:left w:val="single" w:color="auto" w:sz="2" w:space="0"/>
              <w:bottom w:val="single" w:color="auto" w:sz="2" w:space="0"/>
              <w:right w:val="single" w:color="auto" w:sz="2" w:space="0"/>
            </w:tcBorders>
            <w:vAlign w:val="center"/>
          </w:tcPr>
          <w:p w14:paraId="6FBF4B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489,910,137.94</w:t>
            </w:r>
          </w:p>
        </w:tc>
        <w:tc>
          <w:tcPr>
            <w:tcW w:w="1071" w:type="dxa"/>
            <w:tcBorders>
              <w:top w:val="single" w:color="auto" w:sz="2" w:space="0"/>
              <w:left w:val="single" w:color="auto" w:sz="2" w:space="0"/>
              <w:bottom w:val="single" w:color="auto" w:sz="2" w:space="0"/>
              <w:right w:val="single" w:color="auto" w:sz="2" w:space="0"/>
            </w:tcBorders>
            <w:vAlign w:val="center"/>
          </w:tcPr>
          <w:p w14:paraId="6BB0C22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339,598,640.69</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F84A097">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76D1D11">
            <w:pPr>
              <w:rPr>
                <w:color w:val="auto"/>
              </w:rPr>
            </w:pPr>
          </w:p>
        </w:tc>
      </w:tr>
    </w:tbl>
    <w:p w14:paraId="1A3CE85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F8A63E5">
      <w:pPr>
        <w:keepNext/>
        <w:keepLines/>
        <w:spacing w:before="300" w:after="300" w:line="280" w:lineRule="exact"/>
        <w:jc w:val="left"/>
        <w:outlineLvl w:val="2"/>
        <w:rPr>
          <w:rFonts w:ascii="宋体" w:hAnsi="宋体" w:eastAsia="宋体" w:cs="宋体"/>
          <w:b/>
          <w:bCs/>
          <w:color w:val="auto"/>
          <w:sz w:val="21"/>
          <w:szCs w:val="21"/>
        </w:rPr>
      </w:pPr>
      <w:bookmarkStart w:id="208" w:name="_Toc989184"/>
      <w:r>
        <w:rPr>
          <w:rFonts w:ascii="宋体" w:hAnsi="宋体" w:eastAsia="宋体" w:cs="宋体"/>
          <w:b/>
          <w:bCs/>
          <w:color w:val="auto"/>
          <w:sz w:val="21"/>
          <w:szCs w:val="21"/>
        </w:rPr>
        <w:t>32、短期借款</w:t>
      </w:r>
      <w:bookmarkEnd w:id="208"/>
    </w:p>
    <w:p w14:paraId="0717DFA1">
      <w:pPr>
        <w:keepNext/>
        <w:keepLines/>
        <w:spacing w:before="300" w:after="300" w:line="280" w:lineRule="exact"/>
        <w:jc w:val="left"/>
        <w:outlineLvl w:val="3"/>
        <w:rPr>
          <w:rFonts w:ascii="宋体" w:hAnsi="宋体" w:eastAsia="宋体" w:cs="宋体"/>
          <w:b/>
          <w:bCs/>
          <w:color w:val="auto"/>
          <w:sz w:val="21"/>
          <w:szCs w:val="21"/>
        </w:rPr>
      </w:pPr>
      <w:bookmarkStart w:id="209" w:name="_Toc989185"/>
      <w:r>
        <w:rPr>
          <w:rFonts w:ascii="宋体" w:hAnsi="宋体" w:eastAsia="宋体" w:cs="宋体"/>
          <w:b/>
          <w:bCs/>
          <w:color w:val="auto"/>
          <w:sz w:val="21"/>
          <w:szCs w:val="21"/>
        </w:rPr>
        <w:t>（1）短期借款分类</w:t>
      </w:r>
      <w:bookmarkEnd w:id="209"/>
    </w:p>
    <w:p w14:paraId="7B002DF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223B9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9C4AB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E96A9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06367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479867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D12639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保证及抵押借款</w:t>
            </w:r>
          </w:p>
        </w:tc>
        <w:tc>
          <w:tcPr>
            <w:tcW w:w="3213" w:type="dxa"/>
            <w:tcBorders>
              <w:top w:val="single" w:color="auto" w:sz="2" w:space="0"/>
              <w:left w:val="single" w:color="auto" w:sz="2" w:space="0"/>
              <w:bottom w:val="single" w:color="auto" w:sz="2" w:space="0"/>
              <w:right w:val="single" w:color="auto" w:sz="2" w:space="0"/>
            </w:tcBorders>
            <w:vAlign w:val="center"/>
          </w:tcPr>
          <w:p w14:paraId="08AC3D3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68,000,000.00</w:t>
            </w:r>
          </w:p>
        </w:tc>
        <w:tc>
          <w:tcPr>
            <w:tcW w:w="3213" w:type="dxa"/>
            <w:tcBorders>
              <w:top w:val="single" w:color="auto" w:sz="2" w:space="0"/>
              <w:left w:val="single" w:color="auto" w:sz="2" w:space="0"/>
              <w:bottom w:val="single" w:color="auto" w:sz="2" w:space="0"/>
              <w:right w:val="single" w:color="auto" w:sz="2" w:space="0"/>
            </w:tcBorders>
            <w:vAlign w:val="center"/>
          </w:tcPr>
          <w:p w14:paraId="343237F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70,000,000.00</w:t>
            </w:r>
          </w:p>
        </w:tc>
      </w:tr>
      <w:tr w14:paraId="282E14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213E23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抵押借款</w:t>
            </w:r>
          </w:p>
        </w:tc>
        <w:tc>
          <w:tcPr>
            <w:tcW w:w="3213" w:type="dxa"/>
            <w:tcBorders>
              <w:top w:val="single" w:color="auto" w:sz="2" w:space="0"/>
              <w:left w:val="single" w:color="auto" w:sz="2" w:space="0"/>
              <w:bottom w:val="single" w:color="auto" w:sz="2" w:space="0"/>
              <w:right w:val="single" w:color="auto" w:sz="2" w:space="0"/>
            </w:tcBorders>
            <w:vAlign w:val="center"/>
          </w:tcPr>
          <w:p w14:paraId="5127B7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31,000,000.00</w:t>
            </w:r>
          </w:p>
        </w:tc>
        <w:tc>
          <w:tcPr>
            <w:tcW w:w="3213" w:type="dxa"/>
            <w:tcBorders>
              <w:top w:val="single" w:color="auto" w:sz="2" w:space="0"/>
              <w:left w:val="single" w:color="auto" w:sz="2" w:space="0"/>
              <w:bottom w:val="single" w:color="auto" w:sz="2" w:space="0"/>
              <w:right w:val="single" w:color="auto" w:sz="2" w:space="0"/>
            </w:tcBorders>
            <w:vAlign w:val="center"/>
          </w:tcPr>
          <w:p w14:paraId="47CE1B3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24,000,000.00</w:t>
            </w:r>
          </w:p>
        </w:tc>
      </w:tr>
      <w:tr w14:paraId="72C607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FD8703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保证借款</w:t>
            </w:r>
          </w:p>
        </w:tc>
        <w:tc>
          <w:tcPr>
            <w:tcW w:w="3213" w:type="dxa"/>
            <w:tcBorders>
              <w:top w:val="single" w:color="auto" w:sz="2" w:space="0"/>
              <w:left w:val="single" w:color="auto" w:sz="2" w:space="0"/>
              <w:bottom w:val="single" w:color="auto" w:sz="2" w:space="0"/>
              <w:right w:val="single" w:color="auto" w:sz="2" w:space="0"/>
            </w:tcBorders>
            <w:vAlign w:val="center"/>
          </w:tcPr>
          <w:p w14:paraId="5F097CE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19,870,000.00</w:t>
            </w:r>
          </w:p>
        </w:tc>
        <w:tc>
          <w:tcPr>
            <w:tcW w:w="3213" w:type="dxa"/>
            <w:tcBorders>
              <w:top w:val="single" w:color="auto" w:sz="2" w:space="0"/>
              <w:left w:val="single" w:color="auto" w:sz="2" w:space="0"/>
              <w:bottom w:val="single" w:color="auto" w:sz="2" w:space="0"/>
              <w:right w:val="single" w:color="auto" w:sz="2" w:space="0"/>
            </w:tcBorders>
            <w:vAlign w:val="center"/>
          </w:tcPr>
          <w:p w14:paraId="58E2170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65,000,000.00</w:t>
            </w:r>
          </w:p>
        </w:tc>
      </w:tr>
      <w:tr w14:paraId="52C16B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B9BBB3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信用借款</w:t>
            </w:r>
          </w:p>
        </w:tc>
        <w:tc>
          <w:tcPr>
            <w:tcW w:w="3213" w:type="dxa"/>
            <w:tcBorders>
              <w:top w:val="single" w:color="auto" w:sz="2" w:space="0"/>
              <w:left w:val="single" w:color="auto" w:sz="2" w:space="0"/>
              <w:bottom w:val="single" w:color="auto" w:sz="2" w:space="0"/>
              <w:right w:val="single" w:color="auto" w:sz="2" w:space="0"/>
            </w:tcBorders>
            <w:vAlign w:val="center"/>
          </w:tcPr>
          <w:p w14:paraId="43A73AF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34,000,000.00</w:t>
            </w:r>
          </w:p>
        </w:tc>
        <w:tc>
          <w:tcPr>
            <w:tcW w:w="3213" w:type="dxa"/>
            <w:tcBorders>
              <w:top w:val="single" w:color="auto" w:sz="2" w:space="0"/>
              <w:left w:val="single" w:color="auto" w:sz="2" w:space="0"/>
              <w:bottom w:val="single" w:color="auto" w:sz="2" w:space="0"/>
              <w:right w:val="single" w:color="auto" w:sz="2" w:space="0"/>
            </w:tcBorders>
            <w:vAlign w:val="center"/>
          </w:tcPr>
          <w:p w14:paraId="683234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23,000,000.00</w:t>
            </w:r>
          </w:p>
        </w:tc>
      </w:tr>
      <w:tr w14:paraId="50F8CD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C684F8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未到期应付利息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3910422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151,399.03</w:t>
            </w:r>
          </w:p>
        </w:tc>
        <w:tc>
          <w:tcPr>
            <w:tcW w:w="3213" w:type="dxa"/>
            <w:tcBorders>
              <w:top w:val="single" w:color="auto" w:sz="2" w:space="0"/>
              <w:left w:val="single" w:color="auto" w:sz="2" w:space="0"/>
              <w:bottom w:val="single" w:color="auto" w:sz="2" w:space="0"/>
              <w:right w:val="single" w:color="auto" w:sz="2" w:space="0"/>
            </w:tcBorders>
            <w:vAlign w:val="center"/>
          </w:tcPr>
          <w:p w14:paraId="363965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177,991.66</w:t>
            </w:r>
          </w:p>
        </w:tc>
      </w:tr>
      <w:tr w14:paraId="24F704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7E4E2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F7D8A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153,021,399.03</w:t>
            </w:r>
          </w:p>
        </w:tc>
        <w:tc>
          <w:tcPr>
            <w:tcW w:w="3213" w:type="dxa"/>
            <w:tcBorders>
              <w:top w:val="single" w:color="auto" w:sz="2" w:space="0"/>
              <w:left w:val="single" w:color="auto" w:sz="2" w:space="0"/>
              <w:bottom w:val="single" w:color="auto" w:sz="2" w:space="0"/>
              <w:right w:val="single" w:color="auto" w:sz="2" w:space="0"/>
            </w:tcBorders>
            <w:vAlign w:val="center"/>
          </w:tcPr>
          <w:p w14:paraId="703AC3C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182,177,991.66</w:t>
            </w:r>
          </w:p>
        </w:tc>
      </w:tr>
    </w:tbl>
    <w:p w14:paraId="3BB0686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短期借款分类的说明：</w:t>
      </w:r>
    </w:p>
    <w:p w14:paraId="3F1071CD">
      <w:pPr>
        <w:pStyle w:val="4"/>
        <w:keepNext w:val="0"/>
        <w:keepLines w:val="0"/>
        <w:widowControl/>
        <w:suppressLineNumbers w:val="0"/>
        <w:rPr>
          <w:color w:val="auto"/>
        </w:rPr>
      </w:pPr>
      <w:r>
        <w:rPr>
          <w:rFonts w:hint="eastAsia" w:ascii="宋体" w:hAnsi="宋体" w:eastAsia="宋体" w:cs="宋体"/>
          <w:color w:val="auto"/>
          <w:sz w:val="18"/>
          <w:szCs w:val="18"/>
        </w:rPr>
        <w:t>（1）保证及信用借款</w:t>
      </w:r>
    </w:p>
    <w:p w14:paraId="59BEF383">
      <w:pPr>
        <w:pStyle w:val="4"/>
        <w:keepNext w:val="0"/>
        <w:keepLines w:val="0"/>
        <w:widowControl/>
        <w:suppressLineNumbers w:val="0"/>
        <w:jc w:val="both"/>
        <w:rPr>
          <w:color w:val="auto"/>
          <w:sz w:val="18"/>
          <w:szCs w:val="18"/>
        </w:rPr>
      </w:pPr>
      <w:r>
        <w:rPr>
          <w:rFonts w:hint="eastAsia" w:ascii="宋体" w:hAnsi="宋体" w:eastAsia="宋体" w:cs="宋体"/>
          <w:color w:val="auto"/>
          <w:sz w:val="18"/>
          <w:szCs w:val="18"/>
        </w:rPr>
        <w:t>1、2024年1月，广生堂中兴（江苏）药业有限公司与镇江农商银行三山支行签署了编号为(三山)农商循环借字(2023)第2030号的《流动资金循环借款合同》。合同规定借款额度1000万元，循环借款日期截至2026年11月22日。截止2025年6月30日，借款余额1,000万元。</w:t>
      </w:r>
    </w:p>
    <w:p w14:paraId="792AF07F">
      <w:pPr>
        <w:pStyle w:val="4"/>
        <w:keepNext w:val="0"/>
        <w:keepLines w:val="0"/>
        <w:widowControl/>
        <w:suppressLineNumbers w:val="0"/>
        <w:jc w:val="both"/>
        <w:rPr>
          <w:rFonts w:hint="eastAsia" w:eastAsia="宋体"/>
          <w:color w:val="auto"/>
          <w:sz w:val="18"/>
          <w:szCs w:val="18"/>
          <w:lang w:eastAsia="zh-CN"/>
        </w:rPr>
      </w:pPr>
      <w:r>
        <w:rPr>
          <w:rFonts w:hint="eastAsia" w:ascii="宋体" w:hAnsi="宋体" w:eastAsia="宋体" w:cs="宋体"/>
          <w:color w:val="auto"/>
          <w:sz w:val="18"/>
          <w:szCs w:val="18"/>
        </w:rPr>
        <w:t>2、2024年8月及9月，广生堂中兴（江苏）药业有限公司与南京银行镇江润州支行签署了编号为Ba150882408230001676的《流动资金借款合同》，借款金额为300万元整，编号为Ba150882409240004315的《流动资金借款合同》，借款金额为700万元整</w:t>
      </w:r>
      <w:r>
        <w:rPr>
          <w:rFonts w:hint="eastAsia" w:ascii="宋体" w:hAnsi="宋体" w:cs="宋体"/>
          <w:color w:val="auto"/>
          <w:sz w:val="18"/>
          <w:szCs w:val="18"/>
          <w:lang w:eastAsia="zh-CN"/>
        </w:rPr>
        <w:t>，</w:t>
      </w:r>
      <w:r>
        <w:rPr>
          <w:rFonts w:hint="eastAsia" w:ascii="宋体" w:hAnsi="宋体" w:eastAsia="宋体" w:cs="宋体"/>
          <w:color w:val="auto"/>
          <w:sz w:val="18"/>
          <w:szCs w:val="18"/>
        </w:rPr>
        <w:t>截止2025年6月30日，借款余额1,000万元。</w:t>
      </w:r>
    </w:p>
    <w:p w14:paraId="0FDD9B11">
      <w:pPr>
        <w:pStyle w:val="4"/>
        <w:keepNext w:val="0"/>
        <w:keepLines w:val="0"/>
        <w:widowControl/>
        <w:suppressLineNumbers w:val="0"/>
        <w:jc w:val="both"/>
        <w:rPr>
          <w:color w:val="auto"/>
          <w:sz w:val="18"/>
          <w:szCs w:val="18"/>
        </w:rPr>
      </w:pPr>
      <w:r>
        <w:rPr>
          <w:rFonts w:hint="eastAsia" w:ascii="宋体" w:hAnsi="宋体" w:eastAsia="宋体" w:cs="宋体"/>
          <w:color w:val="auto"/>
          <w:sz w:val="18"/>
          <w:szCs w:val="18"/>
        </w:rPr>
        <w:t>3、2024年6月，李国平与民生银行股份有限公司福州分行签署了编号为公高保字第DB2400000039775号的《最高额保证合同》，担保的主合同为福建广生堂药业股份有限公司于2024年6月所签订的编号为公授信字第ZH2400000126525号《综合授信合同》，该项下公流贷字第ZX24070000813670号的《流动资金贷款合同》487万元，截止2025年6月30日，借款余额为487万元。 </w:t>
      </w:r>
    </w:p>
    <w:p w14:paraId="5572EAB0">
      <w:pPr>
        <w:pStyle w:val="4"/>
        <w:keepNext w:val="0"/>
        <w:keepLines w:val="0"/>
        <w:widowControl/>
        <w:suppressLineNumbers w:val="0"/>
        <w:jc w:val="both"/>
        <w:rPr>
          <w:color w:val="auto"/>
          <w:sz w:val="18"/>
          <w:szCs w:val="18"/>
        </w:rPr>
      </w:pPr>
      <w:r>
        <w:rPr>
          <w:rFonts w:hint="eastAsia" w:ascii="宋体" w:hAnsi="宋体" w:eastAsia="宋体" w:cs="宋体"/>
          <w:color w:val="auto"/>
          <w:sz w:val="18"/>
          <w:szCs w:val="18"/>
        </w:rPr>
        <w:t>4、2025年3月，李国平，广生中霖生物科技有限公司与上海浦东发展银行股份有限公司福州闽都分行分别签署了编号为ZB4301202500000081、ZB4301202500000080的《最高额保证合同》，担保的主合同为福建广生堂药业股份有限公司于2025年3月所签订的编号为43032025280025的《流动资金贷款合同》，合同所担保(保证)债权之最高本金余额为人民币2,000万元整，截止2025年6月30日，借款余额为500万元。 </w:t>
      </w:r>
    </w:p>
    <w:p w14:paraId="5E7E0B57">
      <w:pPr>
        <w:pStyle w:val="4"/>
        <w:keepNext w:val="0"/>
        <w:keepLines w:val="0"/>
        <w:widowControl/>
        <w:suppressLineNumbers w:val="0"/>
        <w:jc w:val="both"/>
        <w:rPr>
          <w:color w:val="auto"/>
          <w:sz w:val="18"/>
          <w:szCs w:val="18"/>
        </w:rPr>
      </w:pPr>
      <w:r>
        <w:rPr>
          <w:rFonts w:hint="eastAsia" w:ascii="宋体" w:hAnsi="宋体" w:eastAsia="宋体" w:cs="宋体"/>
          <w:color w:val="auto"/>
          <w:sz w:val="18"/>
          <w:szCs w:val="18"/>
        </w:rPr>
        <w:t>5、2024年9月，广生堂中兴（江苏）药业有限公司与中国银行股份有限公司镇江丁卯桥支分行签署了编号为460819840D24091101的《流动资金借款合同》，借款金额为600万元整，截止2025年6月30日，借款余额600万元。 </w:t>
      </w:r>
    </w:p>
    <w:p w14:paraId="6C86582D">
      <w:pPr>
        <w:pStyle w:val="4"/>
        <w:keepNext w:val="0"/>
        <w:keepLines w:val="0"/>
        <w:widowControl/>
        <w:suppressLineNumbers w:val="0"/>
        <w:jc w:val="both"/>
        <w:rPr>
          <w:color w:val="auto"/>
          <w:sz w:val="18"/>
          <w:szCs w:val="18"/>
        </w:rPr>
      </w:pPr>
      <w:r>
        <w:rPr>
          <w:rFonts w:hint="eastAsia" w:ascii="宋体" w:hAnsi="宋体" w:eastAsia="宋体" w:cs="宋体"/>
          <w:color w:val="auto"/>
          <w:sz w:val="18"/>
          <w:szCs w:val="18"/>
        </w:rPr>
        <w:t>6、2025年3月，广生堂中兴（江苏）药业有限公司与兴业银行股份有限公司镇江分行签署了编号为112000825004的《额度授信合同》，授信额度为1,000万元，2025年3月，广生堂中兴（江苏）药业有限公司与兴业银行股份有限公司镇江分行签署了编号为1120108250013的《流动资金借款合同》，截止2025年6月30日，借款余额800万元。 </w:t>
      </w:r>
    </w:p>
    <w:p w14:paraId="09320582">
      <w:pPr>
        <w:pStyle w:val="4"/>
        <w:keepNext w:val="0"/>
        <w:keepLines w:val="0"/>
        <w:widowControl/>
        <w:suppressLineNumbers w:val="0"/>
        <w:jc w:val="both"/>
        <w:rPr>
          <w:color w:val="auto"/>
          <w:sz w:val="18"/>
          <w:szCs w:val="18"/>
        </w:rPr>
      </w:pPr>
      <w:r>
        <w:rPr>
          <w:rFonts w:hint="eastAsia" w:ascii="宋体" w:hAnsi="宋体" w:eastAsia="宋体" w:cs="宋体"/>
          <w:color w:val="auto"/>
          <w:sz w:val="18"/>
          <w:szCs w:val="18"/>
        </w:rPr>
        <w:t>7、2025年2月，李国平与兴业银行股份有限公司福州分行签署了编号为授HQ2025001-DB1的《保证合同》，担保的主合同为广生中霖生物科技有限公司于2025年2月签</w:t>
      </w:r>
      <w:r>
        <w:rPr>
          <w:rFonts w:hint="eastAsia" w:ascii="宋体" w:hAnsi="宋体" w:cs="宋体"/>
          <w:color w:val="auto"/>
          <w:sz w:val="18"/>
          <w:szCs w:val="18"/>
          <w:lang w:val="en-US" w:eastAsia="zh-CN"/>
        </w:rPr>
        <w:t>订</w:t>
      </w:r>
      <w:r>
        <w:rPr>
          <w:rFonts w:hint="eastAsia" w:ascii="宋体" w:hAnsi="宋体" w:eastAsia="宋体" w:cs="宋体"/>
          <w:color w:val="auto"/>
          <w:sz w:val="18"/>
          <w:szCs w:val="18"/>
        </w:rPr>
        <w:t>的编号为CMISXD2025021700094，编号为CMISXD2025020600032的流动资金借款合同。截止2025年6月30日，借款余额为1,000万元。 </w:t>
      </w:r>
    </w:p>
    <w:p w14:paraId="7E58B918">
      <w:pPr>
        <w:pStyle w:val="4"/>
        <w:keepNext w:val="0"/>
        <w:keepLines w:val="0"/>
        <w:widowControl/>
        <w:suppressLineNumbers w:val="0"/>
        <w:rPr>
          <w:rFonts w:hint="eastAsia" w:eastAsia="宋体"/>
          <w:color w:val="auto"/>
          <w:sz w:val="18"/>
          <w:szCs w:val="18"/>
          <w:lang w:eastAsia="zh-CN"/>
        </w:rPr>
      </w:pPr>
      <w:r>
        <w:rPr>
          <w:rFonts w:hint="eastAsia" w:ascii="宋体" w:hAnsi="宋体" w:cs="宋体"/>
          <w:color w:val="auto"/>
          <w:sz w:val="18"/>
          <w:szCs w:val="18"/>
          <w:lang w:eastAsia="zh-CN"/>
        </w:rPr>
        <w:t>（</w:t>
      </w:r>
      <w:r>
        <w:rPr>
          <w:rFonts w:hint="eastAsia" w:ascii="宋体" w:hAnsi="宋体" w:cs="宋体"/>
          <w:color w:val="auto"/>
          <w:sz w:val="18"/>
          <w:szCs w:val="18"/>
          <w:lang w:val="en-US" w:eastAsia="zh-CN"/>
        </w:rPr>
        <w:t>2</w:t>
      </w:r>
      <w:r>
        <w:rPr>
          <w:rFonts w:hint="eastAsia" w:ascii="宋体" w:hAnsi="宋体" w:cs="宋体"/>
          <w:color w:val="auto"/>
          <w:sz w:val="18"/>
          <w:szCs w:val="18"/>
          <w:lang w:eastAsia="zh-CN"/>
        </w:rPr>
        <w:t>）</w:t>
      </w:r>
      <w:r>
        <w:rPr>
          <w:rFonts w:hint="eastAsia" w:ascii="宋体" w:hAnsi="宋体" w:eastAsia="宋体" w:cs="宋体"/>
          <w:color w:val="auto"/>
          <w:sz w:val="18"/>
          <w:szCs w:val="18"/>
        </w:rPr>
        <w:t>抵押借款</w:t>
      </w:r>
    </w:p>
    <w:p w14:paraId="18828A4B">
      <w:pPr>
        <w:pStyle w:val="4"/>
        <w:keepNext w:val="0"/>
        <w:keepLines w:val="0"/>
        <w:widowControl/>
        <w:suppressLineNumbers w:val="0"/>
        <w:jc w:val="both"/>
        <w:rPr>
          <w:color w:val="auto"/>
          <w:sz w:val="18"/>
          <w:szCs w:val="18"/>
        </w:rPr>
      </w:pPr>
      <w:r>
        <w:rPr>
          <w:rFonts w:hint="eastAsia" w:ascii="宋体" w:hAnsi="宋体" w:eastAsia="宋体" w:cs="宋体"/>
          <w:color w:val="auto"/>
          <w:sz w:val="18"/>
          <w:szCs w:val="18"/>
        </w:rPr>
        <w:t>1、2025年4月，李国平与中国银行股份有限公司闽侯分行签署了编号为FJ118202560的《最高额保证合同》，以及公司与中国银行股份有限公司闽侯分行签署了编号为FJ118202559的《最高额抵押合同》，担保债权的最高本金余额为2000万元整，抵押物为坐落于宁德市柘荣县615西路六巷8号1幢、2幢、3幢及土地使用权，房屋所有权证：柘房权证字第09654号，国有土地使用证：柘国用（2011）第4271号。坐落于宁德市柘荣县615西路六巷9号锅炉房、挡雨房、配电房、浴室及厕所、办公楼及服液车间、茶剂车间、中药材处理房、门卫、片剂车间及土地使用权，国有土地使用证：柘房权证字第09656号，国有土地使用证：柘国用（2011）第4272号。截止2025年6月30日，借款余额1,800.00万元。 </w:t>
      </w:r>
    </w:p>
    <w:p w14:paraId="0B27FC46">
      <w:pPr>
        <w:pStyle w:val="4"/>
        <w:keepNext w:val="0"/>
        <w:keepLines w:val="0"/>
        <w:widowControl/>
        <w:suppressLineNumbers w:val="0"/>
        <w:jc w:val="both"/>
        <w:rPr>
          <w:color w:val="auto"/>
          <w:sz w:val="18"/>
          <w:szCs w:val="18"/>
        </w:rPr>
      </w:pPr>
      <w:r>
        <w:rPr>
          <w:rFonts w:hint="eastAsia" w:ascii="宋体" w:hAnsi="宋体" w:eastAsia="宋体" w:cs="宋体"/>
          <w:color w:val="auto"/>
          <w:sz w:val="18"/>
          <w:szCs w:val="18"/>
        </w:rPr>
        <w:t>2、2024年8月，李国平、公司与兴业银行股份有限公司福州分行签署了编号为授HQ2024057-DB1的《保证合同》以及编号为授HQ2024057-DB2的《抵押合同》，其中保证债权的最高本金余额为10,580万元整，抵押债权最高本金余额为10,580万元。抵押物为柘荣县东源乡洋边村洋边1-6号制剂车间(三)、口服固体制剂车间、质检中心、综合办公楼、口服固体制剂车间(一)、合成车间(二)、化学品仓</w:t>
      </w:r>
      <w:r>
        <w:rPr>
          <w:rFonts w:hint="eastAsia" w:ascii="宋体" w:hAnsi="宋体" w:cs="宋体"/>
          <w:color w:val="auto"/>
          <w:sz w:val="18"/>
          <w:szCs w:val="18"/>
          <w:lang w:val="en-US" w:eastAsia="zh-CN"/>
        </w:rPr>
        <w:t>库</w:t>
      </w:r>
      <w:r>
        <w:rPr>
          <w:rFonts w:hint="eastAsia" w:ascii="宋体" w:hAnsi="宋体" w:eastAsia="宋体" w:cs="宋体"/>
          <w:color w:val="auto"/>
          <w:sz w:val="18"/>
          <w:szCs w:val="18"/>
        </w:rPr>
        <w:t>(三)、提取车间、合成车间(一)、配电室水泵房、机修车间、化学品仓库(一)、化学品仓库(二)、锅炉房(下)、锅炉房(上)、门卫(二)、门卫(一)及土地。截止2025年6月30日，借款余额5,000万元。 </w:t>
      </w:r>
    </w:p>
    <w:p w14:paraId="1346E970">
      <w:pPr>
        <w:pStyle w:val="4"/>
        <w:keepNext w:val="0"/>
        <w:keepLines w:val="0"/>
        <w:widowControl/>
        <w:suppressLineNumbers w:val="0"/>
        <w:jc w:val="both"/>
        <w:rPr>
          <w:color w:val="auto"/>
          <w:sz w:val="18"/>
          <w:szCs w:val="18"/>
        </w:rPr>
      </w:pPr>
      <w:r>
        <w:rPr>
          <w:rFonts w:hint="eastAsia" w:ascii="宋体" w:hAnsi="宋体" w:eastAsia="宋体" w:cs="宋体"/>
          <w:color w:val="auto"/>
          <w:sz w:val="18"/>
          <w:szCs w:val="18"/>
        </w:rPr>
        <w:t>3、2025年4月，广生堂中兴（江苏）药业有限公司与江苏银行股份有限公司镇江分行签署了编号为DY111225000019的《最高额抵押合同》，抵押物为坐落于镇江市丹徒区冷遹路86号的房屋建筑及土地使用权，证权编号为苏(2016)镇江市不动产权第0033949号，授信期限截止至2028年3月。2025年4月，广生堂中兴（江苏）药业有限公司与江苏银行股份有限公司镇江分行签署了编号为DY111225000020的《最高额抵押合同》，抵押物为设备。授信期限截止至2026年3月。2025年4月，广生堂中兴（江苏）药业有限公司与江苏银行股份有限公司镇江分行签署了编号为JK2024070410090057保、JK2024072910092387保、SX111225002759保的《保证金质押合同》，交付450万元作为质押保证金。2025年6月，广生堂中兴（江苏）药业有限公司与江苏银行股份有限公司镇江分行签署了编号为JK111225000497、JK2025062410134364的《流动资金借款合同》，截至2025年6月30日，借款余额2,200万元整。 </w:t>
      </w:r>
    </w:p>
    <w:p w14:paraId="353003E2">
      <w:pPr>
        <w:pStyle w:val="4"/>
        <w:keepNext w:val="0"/>
        <w:keepLines w:val="0"/>
        <w:widowControl/>
        <w:suppressLineNumbers w:val="0"/>
        <w:jc w:val="both"/>
        <w:rPr>
          <w:color w:val="auto"/>
          <w:sz w:val="18"/>
          <w:szCs w:val="18"/>
        </w:rPr>
      </w:pPr>
      <w:r>
        <w:rPr>
          <w:rFonts w:hint="eastAsia" w:ascii="宋体" w:hAnsi="宋体" w:eastAsia="宋体" w:cs="宋体"/>
          <w:color w:val="auto"/>
          <w:sz w:val="18"/>
          <w:szCs w:val="18"/>
        </w:rPr>
        <w:t>4、2024年2月，广生堂中兴（江苏）药业有限公司与中国工商银行股份有限公司镇江京口支行签署了编号为0110400885-2024年京口（抵）字0024号的《最高额抵押合同》，抵押物为坐落于镇江市丹徒区冷遹路86号的房屋建筑及土地使用权，证权编号为苏(2023)镇江市不动产权第0071839号，2024年2月，广生堂中兴（江苏）药业有限公司与中国工商银行股份有限公司镇江京口支行签署了编号为0110400885-2024年（京口）字00156号的《网贷通循环借款合同》，借款额度为900万元，使用期限截止到2027年2月，截至2025年6月30日，借款余额900万元整。 </w:t>
      </w:r>
    </w:p>
    <w:p w14:paraId="44473DF1">
      <w:pPr>
        <w:keepNext/>
        <w:keepLines/>
        <w:spacing w:before="300" w:after="300" w:line="280" w:lineRule="exact"/>
        <w:jc w:val="left"/>
        <w:outlineLvl w:val="3"/>
        <w:rPr>
          <w:rFonts w:ascii="宋体" w:hAnsi="宋体" w:eastAsia="宋体" w:cs="宋体"/>
          <w:b/>
          <w:bCs/>
          <w:color w:val="auto"/>
          <w:sz w:val="21"/>
          <w:szCs w:val="21"/>
        </w:rPr>
      </w:pPr>
      <w:bookmarkStart w:id="210" w:name="_Toc989186"/>
      <w:r>
        <w:rPr>
          <w:rFonts w:ascii="宋体" w:hAnsi="宋体" w:eastAsia="宋体" w:cs="宋体"/>
          <w:b/>
          <w:bCs/>
          <w:color w:val="auto"/>
          <w:sz w:val="21"/>
          <w:szCs w:val="21"/>
        </w:rPr>
        <w:t>（2）已逾期未偿还的短期借款情况</w:t>
      </w:r>
      <w:bookmarkEnd w:id="210"/>
    </w:p>
    <w:p w14:paraId="197B6D8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本期末已逾期未偿还的短期借款总额为元，其中重要的已逾期未偿还的短期借款情况如下：</w:t>
      </w:r>
    </w:p>
    <w:p w14:paraId="474D985F">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00110D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C5C17A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借款单位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FCD93D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978E1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借款利率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8DA8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逾期时间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9C41DB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逾期利率</w:t>
            </w:r>
          </w:p>
        </w:tc>
      </w:tr>
    </w:tbl>
    <w:p w14:paraId="1D69EEE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5A3F9EE">
      <w:pPr>
        <w:keepNext/>
        <w:keepLines/>
        <w:spacing w:before="300" w:after="300" w:line="280" w:lineRule="exact"/>
        <w:jc w:val="left"/>
        <w:outlineLvl w:val="2"/>
        <w:rPr>
          <w:rFonts w:ascii="宋体" w:hAnsi="宋体" w:eastAsia="宋体" w:cs="宋体"/>
          <w:b/>
          <w:bCs/>
          <w:color w:val="auto"/>
          <w:sz w:val="21"/>
          <w:szCs w:val="21"/>
        </w:rPr>
      </w:pPr>
      <w:bookmarkStart w:id="211" w:name="_Toc989187"/>
      <w:r>
        <w:rPr>
          <w:rFonts w:ascii="宋体" w:hAnsi="宋体" w:eastAsia="宋体" w:cs="宋体"/>
          <w:b/>
          <w:bCs/>
          <w:color w:val="auto"/>
          <w:sz w:val="21"/>
          <w:szCs w:val="21"/>
        </w:rPr>
        <w:t>33、交易性金融负债</w:t>
      </w:r>
      <w:bookmarkEnd w:id="211"/>
    </w:p>
    <w:p w14:paraId="61ACB8D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5BE84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C58C1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243A8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7447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2CCBEE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76C3A4">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D95C8E">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6F65FF">
            <w:pPr>
              <w:rPr>
                <w:color w:val="auto"/>
              </w:rPr>
            </w:pPr>
          </w:p>
        </w:tc>
      </w:tr>
      <w:tr w14:paraId="3D814D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C1B996">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4E528E">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72CDEA">
            <w:pPr>
              <w:rPr>
                <w:color w:val="auto"/>
              </w:rPr>
            </w:pPr>
          </w:p>
        </w:tc>
      </w:tr>
    </w:tbl>
    <w:p w14:paraId="727F034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B0FB0A5">
      <w:pPr>
        <w:keepNext/>
        <w:keepLines/>
        <w:spacing w:before="300" w:after="300" w:line="280" w:lineRule="exact"/>
        <w:jc w:val="left"/>
        <w:outlineLvl w:val="2"/>
        <w:rPr>
          <w:rFonts w:ascii="宋体" w:hAnsi="宋体" w:eastAsia="宋体" w:cs="宋体"/>
          <w:b/>
          <w:bCs/>
          <w:color w:val="auto"/>
          <w:sz w:val="21"/>
          <w:szCs w:val="21"/>
        </w:rPr>
      </w:pPr>
      <w:bookmarkStart w:id="212" w:name="_Toc989188"/>
      <w:r>
        <w:rPr>
          <w:rFonts w:ascii="宋体" w:hAnsi="宋体" w:eastAsia="宋体" w:cs="宋体"/>
          <w:b/>
          <w:bCs/>
          <w:color w:val="auto"/>
          <w:sz w:val="21"/>
          <w:szCs w:val="21"/>
        </w:rPr>
        <w:t>34、衍生金融负债</w:t>
      </w:r>
      <w:bookmarkEnd w:id="212"/>
    </w:p>
    <w:p w14:paraId="548E24F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306D3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EEE9D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AFEB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CCEA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67886D8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22B6D8F">
      <w:pPr>
        <w:keepNext/>
        <w:keepLines/>
        <w:spacing w:before="300" w:after="300" w:line="280" w:lineRule="exact"/>
        <w:jc w:val="left"/>
        <w:outlineLvl w:val="2"/>
        <w:rPr>
          <w:rFonts w:ascii="宋体" w:hAnsi="宋体" w:eastAsia="宋体" w:cs="宋体"/>
          <w:b/>
          <w:bCs/>
          <w:color w:val="auto"/>
          <w:sz w:val="21"/>
          <w:szCs w:val="21"/>
        </w:rPr>
      </w:pPr>
      <w:bookmarkStart w:id="213" w:name="_Toc989189"/>
      <w:r>
        <w:rPr>
          <w:rFonts w:ascii="宋体" w:hAnsi="宋体" w:eastAsia="宋体" w:cs="宋体"/>
          <w:b/>
          <w:bCs/>
          <w:color w:val="auto"/>
          <w:sz w:val="21"/>
          <w:szCs w:val="21"/>
        </w:rPr>
        <w:t>35、应付票据</w:t>
      </w:r>
      <w:bookmarkEnd w:id="213"/>
    </w:p>
    <w:p w14:paraId="3AAD15B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03470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85F9B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种类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8722E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6F52E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751FDC4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本期末已到期未支付的应付票据总额为元，到期未付的原因为。</w:t>
      </w:r>
    </w:p>
    <w:p w14:paraId="341E28BA">
      <w:pPr>
        <w:keepNext/>
        <w:keepLines/>
        <w:spacing w:before="300" w:after="300" w:line="280" w:lineRule="exact"/>
        <w:jc w:val="left"/>
        <w:outlineLvl w:val="2"/>
        <w:rPr>
          <w:rFonts w:ascii="宋体" w:hAnsi="宋体" w:eastAsia="宋体" w:cs="宋体"/>
          <w:b/>
          <w:bCs/>
          <w:color w:val="auto"/>
          <w:sz w:val="21"/>
          <w:szCs w:val="21"/>
        </w:rPr>
      </w:pPr>
      <w:bookmarkStart w:id="214" w:name="_Toc989190"/>
      <w:r>
        <w:rPr>
          <w:rFonts w:ascii="宋体" w:hAnsi="宋体" w:eastAsia="宋体" w:cs="宋体"/>
          <w:b/>
          <w:bCs/>
          <w:color w:val="auto"/>
          <w:sz w:val="21"/>
          <w:szCs w:val="21"/>
        </w:rPr>
        <w:t>36、应付账款</w:t>
      </w:r>
      <w:bookmarkEnd w:id="214"/>
    </w:p>
    <w:p w14:paraId="74123037">
      <w:pPr>
        <w:keepNext/>
        <w:keepLines/>
        <w:spacing w:before="300" w:after="300" w:line="280" w:lineRule="exact"/>
        <w:jc w:val="left"/>
        <w:outlineLvl w:val="3"/>
        <w:rPr>
          <w:rFonts w:ascii="宋体" w:hAnsi="宋体" w:eastAsia="宋体" w:cs="宋体"/>
          <w:b/>
          <w:bCs/>
          <w:color w:val="auto"/>
          <w:sz w:val="18"/>
          <w:szCs w:val="18"/>
        </w:rPr>
      </w:pPr>
      <w:bookmarkStart w:id="215" w:name="_Toc989191"/>
      <w:r>
        <w:rPr>
          <w:rFonts w:ascii="宋体" w:hAnsi="宋体" w:eastAsia="宋体" w:cs="宋体"/>
          <w:b/>
          <w:bCs/>
          <w:color w:val="auto"/>
          <w:sz w:val="18"/>
          <w:szCs w:val="18"/>
        </w:rPr>
        <w:t>（1）应付账款列示</w:t>
      </w:r>
      <w:bookmarkEnd w:id="215"/>
    </w:p>
    <w:p w14:paraId="268A85A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392C1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E7149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8065F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7BCCA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321A6F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2A6A23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应付采购货款</w:t>
            </w:r>
          </w:p>
        </w:tc>
        <w:tc>
          <w:tcPr>
            <w:tcW w:w="3213" w:type="dxa"/>
            <w:tcBorders>
              <w:top w:val="single" w:color="auto" w:sz="2" w:space="0"/>
              <w:left w:val="single" w:color="auto" w:sz="2" w:space="0"/>
              <w:bottom w:val="single" w:color="auto" w:sz="2" w:space="0"/>
              <w:right w:val="single" w:color="auto" w:sz="2" w:space="0"/>
            </w:tcBorders>
            <w:vAlign w:val="center"/>
          </w:tcPr>
          <w:p w14:paraId="7275DA99">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rPr>
              <w:t>87,302,326.90</w:t>
            </w:r>
          </w:p>
        </w:tc>
        <w:tc>
          <w:tcPr>
            <w:tcW w:w="3213" w:type="dxa"/>
            <w:tcBorders>
              <w:top w:val="single" w:color="auto" w:sz="2" w:space="0"/>
              <w:left w:val="single" w:color="auto" w:sz="2" w:space="0"/>
              <w:bottom w:val="single" w:color="auto" w:sz="2" w:space="0"/>
              <w:right w:val="single" w:color="auto" w:sz="2" w:space="0"/>
            </w:tcBorders>
            <w:vAlign w:val="center"/>
          </w:tcPr>
          <w:p w14:paraId="4FD3D9F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53,380,860.33</w:t>
            </w:r>
          </w:p>
        </w:tc>
      </w:tr>
      <w:tr w14:paraId="10FFFA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A50CA8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应付经营费用款</w:t>
            </w:r>
          </w:p>
        </w:tc>
        <w:tc>
          <w:tcPr>
            <w:tcW w:w="3213" w:type="dxa"/>
            <w:tcBorders>
              <w:top w:val="single" w:color="auto" w:sz="2" w:space="0"/>
              <w:left w:val="single" w:color="auto" w:sz="2" w:space="0"/>
              <w:bottom w:val="single" w:color="auto" w:sz="2" w:space="0"/>
              <w:right w:val="single" w:color="auto" w:sz="2" w:space="0"/>
            </w:tcBorders>
            <w:vAlign w:val="center"/>
          </w:tcPr>
          <w:p w14:paraId="550E750C">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rPr>
              <w:t>118,470,511.40</w:t>
            </w:r>
          </w:p>
        </w:tc>
        <w:tc>
          <w:tcPr>
            <w:tcW w:w="3213" w:type="dxa"/>
            <w:tcBorders>
              <w:top w:val="single" w:color="auto" w:sz="2" w:space="0"/>
              <w:left w:val="single" w:color="auto" w:sz="2" w:space="0"/>
              <w:bottom w:val="single" w:color="auto" w:sz="2" w:space="0"/>
              <w:right w:val="single" w:color="auto" w:sz="2" w:space="0"/>
            </w:tcBorders>
            <w:vAlign w:val="center"/>
          </w:tcPr>
          <w:p w14:paraId="339950B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145,923,710.93</w:t>
            </w:r>
          </w:p>
        </w:tc>
      </w:tr>
      <w:tr w14:paraId="0CD9C8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17CF04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应付工程设备款</w:t>
            </w:r>
          </w:p>
        </w:tc>
        <w:tc>
          <w:tcPr>
            <w:tcW w:w="3213" w:type="dxa"/>
            <w:tcBorders>
              <w:top w:val="single" w:color="auto" w:sz="2" w:space="0"/>
              <w:left w:val="single" w:color="auto" w:sz="2" w:space="0"/>
              <w:bottom w:val="single" w:color="auto" w:sz="2" w:space="0"/>
              <w:right w:val="single" w:color="auto" w:sz="2" w:space="0"/>
            </w:tcBorders>
            <w:vAlign w:val="center"/>
          </w:tcPr>
          <w:p w14:paraId="658372B4">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rPr>
              <w:t>16,084,093.73</w:t>
            </w:r>
          </w:p>
        </w:tc>
        <w:tc>
          <w:tcPr>
            <w:tcW w:w="3213" w:type="dxa"/>
            <w:tcBorders>
              <w:top w:val="single" w:color="auto" w:sz="2" w:space="0"/>
              <w:left w:val="single" w:color="auto" w:sz="2" w:space="0"/>
              <w:bottom w:val="single" w:color="auto" w:sz="2" w:space="0"/>
              <w:right w:val="single" w:color="auto" w:sz="2" w:space="0"/>
            </w:tcBorders>
            <w:vAlign w:val="center"/>
          </w:tcPr>
          <w:p w14:paraId="4EEC64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14,535,465.54</w:t>
            </w:r>
          </w:p>
        </w:tc>
      </w:tr>
      <w:tr w14:paraId="129CD7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E4889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8E548E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221,856,932.03</w:t>
            </w:r>
          </w:p>
        </w:tc>
        <w:tc>
          <w:tcPr>
            <w:tcW w:w="3213" w:type="dxa"/>
            <w:tcBorders>
              <w:top w:val="single" w:color="auto" w:sz="2" w:space="0"/>
              <w:left w:val="single" w:color="auto" w:sz="2" w:space="0"/>
              <w:bottom w:val="single" w:color="auto" w:sz="2" w:space="0"/>
              <w:right w:val="single" w:color="auto" w:sz="2" w:space="0"/>
            </w:tcBorders>
            <w:vAlign w:val="center"/>
          </w:tcPr>
          <w:p w14:paraId="55E7997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213,840,036.80</w:t>
            </w:r>
          </w:p>
        </w:tc>
      </w:tr>
    </w:tbl>
    <w:p w14:paraId="59521D86">
      <w:pPr>
        <w:keepNext/>
        <w:keepLines/>
        <w:spacing w:before="300" w:after="300" w:line="280" w:lineRule="exact"/>
        <w:jc w:val="left"/>
        <w:outlineLvl w:val="3"/>
        <w:rPr>
          <w:rFonts w:ascii="宋体" w:hAnsi="宋体" w:eastAsia="宋体" w:cs="宋体"/>
          <w:b/>
          <w:bCs/>
          <w:color w:val="auto"/>
          <w:sz w:val="18"/>
          <w:szCs w:val="18"/>
        </w:rPr>
      </w:pPr>
      <w:bookmarkStart w:id="216" w:name="_Toc989192"/>
      <w:r>
        <w:rPr>
          <w:rFonts w:ascii="宋体" w:hAnsi="宋体" w:eastAsia="宋体" w:cs="宋体"/>
          <w:b/>
          <w:bCs/>
          <w:color w:val="auto"/>
          <w:sz w:val="18"/>
          <w:szCs w:val="18"/>
        </w:rPr>
        <w:t>（2）账龄超过1年或逾期的重要应付账款</w:t>
      </w:r>
      <w:bookmarkEnd w:id="216"/>
    </w:p>
    <w:p w14:paraId="1781E2E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FFE50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CB559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E5E5A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980B8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未偿还或结转的原因</w:t>
            </w:r>
          </w:p>
        </w:tc>
      </w:tr>
    </w:tbl>
    <w:p w14:paraId="73847ED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54CE3FE">
      <w:pPr>
        <w:keepNext/>
        <w:keepLines/>
        <w:spacing w:before="300" w:after="300" w:line="280" w:lineRule="exact"/>
        <w:jc w:val="left"/>
        <w:outlineLvl w:val="2"/>
        <w:rPr>
          <w:rFonts w:ascii="宋体" w:hAnsi="宋体" w:eastAsia="宋体" w:cs="宋体"/>
          <w:b/>
          <w:bCs/>
          <w:color w:val="auto"/>
          <w:sz w:val="21"/>
          <w:szCs w:val="21"/>
        </w:rPr>
      </w:pPr>
      <w:bookmarkStart w:id="217" w:name="_Toc989193"/>
      <w:r>
        <w:rPr>
          <w:rFonts w:ascii="宋体" w:hAnsi="宋体" w:eastAsia="宋体" w:cs="宋体"/>
          <w:b/>
          <w:bCs/>
          <w:color w:val="auto"/>
          <w:sz w:val="21"/>
          <w:szCs w:val="21"/>
        </w:rPr>
        <w:t>37、其他应付款</w:t>
      </w:r>
      <w:bookmarkEnd w:id="217"/>
    </w:p>
    <w:p w14:paraId="2DB3711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3A49C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241A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5A720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538B9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00C10E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E8B19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02903DE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38,873,741.70</w:t>
            </w:r>
          </w:p>
        </w:tc>
        <w:tc>
          <w:tcPr>
            <w:tcW w:w="3213" w:type="dxa"/>
            <w:tcBorders>
              <w:top w:val="single" w:color="auto" w:sz="2" w:space="0"/>
              <w:left w:val="single" w:color="auto" w:sz="2" w:space="0"/>
              <w:bottom w:val="single" w:color="auto" w:sz="2" w:space="0"/>
              <w:right w:val="single" w:color="auto" w:sz="2" w:space="0"/>
            </w:tcBorders>
            <w:vAlign w:val="center"/>
          </w:tcPr>
          <w:p w14:paraId="769C363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36,520,008.56</w:t>
            </w:r>
          </w:p>
        </w:tc>
      </w:tr>
      <w:tr w14:paraId="360FFF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57048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32C721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38,873,741.70</w:t>
            </w:r>
          </w:p>
        </w:tc>
        <w:tc>
          <w:tcPr>
            <w:tcW w:w="3213" w:type="dxa"/>
            <w:tcBorders>
              <w:top w:val="single" w:color="auto" w:sz="2" w:space="0"/>
              <w:left w:val="single" w:color="auto" w:sz="2" w:space="0"/>
              <w:bottom w:val="single" w:color="auto" w:sz="2" w:space="0"/>
              <w:right w:val="single" w:color="auto" w:sz="2" w:space="0"/>
            </w:tcBorders>
            <w:vAlign w:val="center"/>
          </w:tcPr>
          <w:p w14:paraId="72369E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36,520,008.56</w:t>
            </w:r>
          </w:p>
        </w:tc>
      </w:tr>
    </w:tbl>
    <w:p w14:paraId="3E2B0DD1">
      <w:pPr>
        <w:keepNext/>
        <w:keepLines/>
        <w:spacing w:before="300" w:after="300" w:line="280" w:lineRule="exact"/>
        <w:jc w:val="left"/>
        <w:outlineLvl w:val="3"/>
        <w:rPr>
          <w:rFonts w:ascii="宋体" w:hAnsi="宋体" w:eastAsia="宋体" w:cs="宋体"/>
          <w:b/>
          <w:bCs/>
          <w:color w:val="auto"/>
          <w:sz w:val="18"/>
          <w:szCs w:val="18"/>
        </w:rPr>
      </w:pPr>
      <w:bookmarkStart w:id="218" w:name="_Toc989194"/>
      <w:r>
        <w:rPr>
          <w:rFonts w:ascii="宋体" w:hAnsi="宋体" w:eastAsia="宋体" w:cs="宋体"/>
          <w:b/>
          <w:bCs/>
          <w:color w:val="auto"/>
          <w:sz w:val="18"/>
          <w:szCs w:val="18"/>
        </w:rPr>
        <w:t>（1）应付利息</w:t>
      </w:r>
      <w:bookmarkEnd w:id="218"/>
    </w:p>
    <w:p w14:paraId="33792082">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00347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9B439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CAEB0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B3C2E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396CFAC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重要的已逾期未支付的利息情况：</w:t>
      </w:r>
    </w:p>
    <w:p w14:paraId="7BFE09C4">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ECEAD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DDC5E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借款单位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1E98E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9C7EE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逾期原因</w:t>
            </w:r>
          </w:p>
        </w:tc>
      </w:tr>
    </w:tbl>
    <w:p w14:paraId="1769AAA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676037A">
      <w:pPr>
        <w:keepNext/>
        <w:keepLines/>
        <w:spacing w:before="300" w:after="300" w:line="280" w:lineRule="exact"/>
        <w:jc w:val="left"/>
        <w:outlineLvl w:val="3"/>
        <w:rPr>
          <w:rFonts w:ascii="宋体" w:hAnsi="宋体" w:eastAsia="宋体" w:cs="宋体"/>
          <w:b/>
          <w:bCs/>
          <w:color w:val="auto"/>
          <w:sz w:val="18"/>
          <w:szCs w:val="18"/>
        </w:rPr>
      </w:pPr>
      <w:bookmarkStart w:id="219" w:name="_Toc989195"/>
      <w:r>
        <w:rPr>
          <w:rFonts w:ascii="宋体" w:hAnsi="宋体" w:eastAsia="宋体" w:cs="宋体"/>
          <w:b/>
          <w:bCs/>
          <w:color w:val="auto"/>
          <w:sz w:val="18"/>
          <w:szCs w:val="18"/>
        </w:rPr>
        <w:t>（2）应付股利</w:t>
      </w:r>
      <w:bookmarkEnd w:id="219"/>
    </w:p>
    <w:p w14:paraId="4CF2DBC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9518A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8126A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D2FCA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34403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4C777B4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其他说明，包括重要的超过1年未支付的应付股利，应披露未支付原因：</w:t>
      </w:r>
    </w:p>
    <w:p w14:paraId="11A63F16">
      <w:pPr>
        <w:keepNext/>
        <w:keepLines/>
        <w:spacing w:before="300" w:after="300" w:line="280" w:lineRule="exact"/>
        <w:jc w:val="left"/>
        <w:outlineLvl w:val="3"/>
        <w:rPr>
          <w:rFonts w:ascii="宋体" w:hAnsi="宋体" w:eastAsia="宋体" w:cs="宋体"/>
          <w:b/>
          <w:bCs/>
          <w:color w:val="auto"/>
          <w:sz w:val="18"/>
          <w:szCs w:val="18"/>
        </w:rPr>
      </w:pPr>
      <w:bookmarkStart w:id="220" w:name="_Toc989196"/>
      <w:r>
        <w:rPr>
          <w:rFonts w:ascii="宋体" w:hAnsi="宋体" w:eastAsia="宋体" w:cs="宋体"/>
          <w:b/>
          <w:bCs/>
          <w:color w:val="auto"/>
          <w:sz w:val="18"/>
          <w:szCs w:val="18"/>
        </w:rPr>
        <w:t>（3）其他应付款</w:t>
      </w:r>
      <w:bookmarkEnd w:id="220"/>
    </w:p>
    <w:p w14:paraId="7975858C">
      <w:pPr>
        <w:keepNext/>
        <w:keepLines/>
        <w:spacing w:before="300" w:after="300" w:line="280" w:lineRule="exact"/>
        <w:jc w:val="left"/>
        <w:outlineLvl w:val="4"/>
        <w:rPr>
          <w:rFonts w:ascii="宋体" w:hAnsi="宋体" w:eastAsia="宋体" w:cs="宋体"/>
          <w:b/>
          <w:bCs/>
          <w:color w:val="auto"/>
          <w:sz w:val="18"/>
          <w:szCs w:val="18"/>
        </w:rPr>
      </w:pPr>
      <w:bookmarkStart w:id="221" w:name="_Toc989197"/>
      <w:r>
        <w:rPr>
          <w:rFonts w:ascii="宋体" w:hAnsi="宋体" w:eastAsia="宋体" w:cs="宋体"/>
          <w:b/>
          <w:bCs/>
          <w:color w:val="auto"/>
          <w:sz w:val="18"/>
          <w:szCs w:val="18"/>
        </w:rPr>
        <w:t>1）按款项性质列示其他应付款</w:t>
      </w:r>
      <w:bookmarkEnd w:id="221"/>
    </w:p>
    <w:p w14:paraId="11324BE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6AAC0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91AC6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26DDD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A32F4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18BCD1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087014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押金、保证金</w:t>
            </w:r>
          </w:p>
        </w:tc>
        <w:tc>
          <w:tcPr>
            <w:tcW w:w="3213" w:type="dxa"/>
            <w:tcBorders>
              <w:top w:val="single" w:color="auto" w:sz="2" w:space="0"/>
              <w:left w:val="single" w:color="auto" w:sz="2" w:space="0"/>
              <w:bottom w:val="single" w:color="auto" w:sz="2" w:space="0"/>
              <w:right w:val="single" w:color="auto" w:sz="2" w:space="0"/>
            </w:tcBorders>
            <w:vAlign w:val="center"/>
          </w:tcPr>
          <w:p w14:paraId="6D79F4A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25,305,680.15</w:t>
            </w:r>
          </w:p>
        </w:tc>
        <w:tc>
          <w:tcPr>
            <w:tcW w:w="3213" w:type="dxa"/>
            <w:tcBorders>
              <w:top w:val="single" w:color="auto" w:sz="2" w:space="0"/>
              <w:left w:val="single" w:color="auto" w:sz="2" w:space="0"/>
              <w:bottom w:val="single" w:color="auto" w:sz="2" w:space="0"/>
              <w:right w:val="single" w:color="auto" w:sz="2" w:space="0"/>
            </w:tcBorders>
            <w:vAlign w:val="center"/>
          </w:tcPr>
          <w:p w14:paraId="79EC494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23,898,723.48</w:t>
            </w:r>
          </w:p>
        </w:tc>
      </w:tr>
      <w:tr w14:paraId="4C5C11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47735F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预提费用</w:t>
            </w:r>
          </w:p>
        </w:tc>
        <w:tc>
          <w:tcPr>
            <w:tcW w:w="3213" w:type="dxa"/>
            <w:tcBorders>
              <w:top w:val="single" w:color="auto" w:sz="2" w:space="0"/>
              <w:left w:val="single" w:color="auto" w:sz="2" w:space="0"/>
              <w:bottom w:val="single" w:color="auto" w:sz="2" w:space="0"/>
              <w:right w:val="single" w:color="auto" w:sz="2" w:space="0"/>
            </w:tcBorders>
            <w:vAlign w:val="center"/>
          </w:tcPr>
          <w:p w14:paraId="4665AB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13,264,852.05</w:t>
            </w:r>
          </w:p>
        </w:tc>
        <w:tc>
          <w:tcPr>
            <w:tcW w:w="3213" w:type="dxa"/>
            <w:tcBorders>
              <w:top w:val="single" w:color="auto" w:sz="2" w:space="0"/>
              <w:left w:val="single" w:color="auto" w:sz="2" w:space="0"/>
              <w:bottom w:val="single" w:color="auto" w:sz="2" w:space="0"/>
              <w:right w:val="single" w:color="auto" w:sz="2" w:space="0"/>
            </w:tcBorders>
            <w:vAlign w:val="center"/>
          </w:tcPr>
          <w:p w14:paraId="73BC608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12,167,886.35</w:t>
            </w:r>
          </w:p>
        </w:tc>
      </w:tr>
      <w:tr w14:paraId="3BA75E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9DBBB3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699DE16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303,209.50</w:t>
            </w:r>
          </w:p>
        </w:tc>
        <w:tc>
          <w:tcPr>
            <w:tcW w:w="3213" w:type="dxa"/>
            <w:tcBorders>
              <w:top w:val="single" w:color="auto" w:sz="2" w:space="0"/>
              <w:left w:val="single" w:color="auto" w:sz="2" w:space="0"/>
              <w:bottom w:val="single" w:color="auto" w:sz="2" w:space="0"/>
              <w:right w:val="single" w:color="auto" w:sz="2" w:space="0"/>
            </w:tcBorders>
            <w:vAlign w:val="center"/>
          </w:tcPr>
          <w:p w14:paraId="6DE27F0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453,398.73</w:t>
            </w:r>
          </w:p>
        </w:tc>
      </w:tr>
      <w:tr w14:paraId="5A3C31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63721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915A8F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38,873,741.70</w:t>
            </w:r>
          </w:p>
        </w:tc>
        <w:tc>
          <w:tcPr>
            <w:tcW w:w="3213" w:type="dxa"/>
            <w:tcBorders>
              <w:top w:val="single" w:color="auto" w:sz="2" w:space="0"/>
              <w:left w:val="single" w:color="auto" w:sz="2" w:space="0"/>
              <w:bottom w:val="single" w:color="auto" w:sz="2" w:space="0"/>
              <w:right w:val="single" w:color="auto" w:sz="2" w:space="0"/>
            </w:tcBorders>
            <w:vAlign w:val="center"/>
          </w:tcPr>
          <w:p w14:paraId="30FD7A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36,520,008.56</w:t>
            </w:r>
          </w:p>
        </w:tc>
      </w:tr>
    </w:tbl>
    <w:p w14:paraId="35D2B522">
      <w:pPr>
        <w:keepNext/>
        <w:keepLines/>
        <w:spacing w:before="300" w:after="300" w:line="280" w:lineRule="exact"/>
        <w:jc w:val="left"/>
        <w:outlineLvl w:val="4"/>
        <w:rPr>
          <w:rFonts w:ascii="宋体" w:hAnsi="宋体" w:eastAsia="宋体" w:cs="宋体"/>
          <w:b/>
          <w:bCs/>
          <w:color w:val="auto"/>
          <w:sz w:val="18"/>
          <w:szCs w:val="18"/>
        </w:rPr>
      </w:pPr>
      <w:bookmarkStart w:id="222" w:name="_Toc989198"/>
      <w:r>
        <w:rPr>
          <w:rFonts w:ascii="宋体" w:hAnsi="宋体" w:eastAsia="宋体" w:cs="宋体"/>
          <w:b/>
          <w:bCs/>
          <w:color w:val="auto"/>
          <w:sz w:val="18"/>
          <w:szCs w:val="18"/>
        </w:rPr>
        <w:t>2）账龄超过1年或逾期的重要其他应付款</w:t>
      </w:r>
      <w:bookmarkEnd w:id="222"/>
    </w:p>
    <w:p w14:paraId="74C7D7E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3B72C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932FA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FF31B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A400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未偿还或结转的原因</w:t>
            </w:r>
          </w:p>
        </w:tc>
      </w:tr>
    </w:tbl>
    <w:p w14:paraId="53E89F4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A31580F">
      <w:pPr>
        <w:keepNext/>
        <w:keepLines/>
        <w:spacing w:before="300" w:after="300" w:line="280" w:lineRule="exact"/>
        <w:jc w:val="left"/>
        <w:outlineLvl w:val="2"/>
        <w:rPr>
          <w:rFonts w:ascii="宋体" w:hAnsi="宋体" w:eastAsia="宋体" w:cs="宋体"/>
          <w:b/>
          <w:bCs/>
          <w:color w:val="auto"/>
          <w:sz w:val="21"/>
          <w:szCs w:val="21"/>
        </w:rPr>
      </w:pPr>
      <w:bookmarkStart w:id="223" w:name="_Toc989199"/>
      <w:r>
        <w:rPr>
          <w:rFonts w:ascii="宋体" w:hAnsi="宋体" w:eastAsia="宋体" w:cs="宋体"/>
          <w:b/>
          <w:bCs/>
          <w:color w:val="auto"/>
          <w:sz w:val="21"/>
          <w:szCs w:val="21"/>
        </w:rPr>
        <w:t>38、预收款项</w:t>
      </w:r>
      <w:bookmarkEnd w:id="223"/>
    </w:p>
    <w:p w14:paraId="41E5460A">
      <w:pPr>
        <w:keepNext/>
        <w:keepLines/>
        <w:spacing w:before="300" w:after="300" w:line="280" w:lineRule="exact"/>
        <w:jc w:val="left"/>
        <w:outlineLvl w:val="3"/>
        <w:rPr>
          <w:rFonts w:ascii="宋体" w:hAnsi="宋体" w:eastAsia="宋体" w:cs="宋体"/>
          <w:b/>
          <w:bCs/>
          <w:color w:val="auto"/>
          <w:sz w:val="18"/>
          <w:szCs w:val="18"/>
        </w:rPr>
      </w:pPr>
      <w:bookmarkStart w:id="224" w:name="_Toc989200"/>
      <w:r>
        <w:rPr>
          <w:rFonts w:ascii="宋体" w:hAnsi="宋体" w:eastAsia="宋体" w:cs="宋体"/>
          <w:b/>
          <w:bCs/>
          <w:color w:val="auto"/>
          <w:sz w:val="18"/>
          <w:szCs w:val="18"/>
        </w:rPr>
        <w:t>（1）预收款项列示</w:t>
      </w:r>
      <w:bookmarkEnd w:id="224"/>
    </w:p>
    <w:p w14:paraId="1C43B781">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A4649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3901F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4000C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ECB42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2B0E47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EFEB0D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预收房租款</w:t>
            </w:r>
          </w:p>
        </w:tc>
        <w:tc>
          <w:tcPr>
            <w:tcW w:w="3213" w:type="dxa"/>
            <w:tcBorders>
              <w:top w:val="single" w:color="auto" w:sz="2" w:space="0"/>
              <w:left w:val="single" w:color="auto" w:sz="2" w:space="0"/>
              <w:bottom w:val="single" w:color="auto" w:sz="2" w:space="0"/>
              <w:right w:val="single" w:color="auto" w:sz="2" w:space="0"/>
            </w:tcBorders>
            <w:vAlign w:val="center"/>
          </w:tcPr>
          <w:p w14:paraId="320EB4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3,853.22</w:t>
            </w:r>
          </w:p>
        </w:tc>
        <w:tc>
          <w:tcPr>
            <w:tcW w:w="3213" w:type="dxa"/>
            <w:tcBorders>
              <w:top w:val="single" w:color="auto" w:sz="2" w:space="0"/>
              <w:left w:val="single" w:color="auto" w:sz="2" w:space="0"/>
              <w:bottom w:val="single" w:color="auto" w:sz="2" w:space="0"/>
              <w:right w:val="single" w:color="auto" w:sz="2" w:space="0"/>
            </w:tcBorders>
            <w:vAlign w:val="center"/>
          </w:tcPr>
          <w:p w14:paraId="144873A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5,779.82</w:t>
            </w:r>
          </w:p>
        </w:tc>
      </w:tr>
      <w:tr w14:paraId="5DD228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F250E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19B149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3,853.22</w:t>
            </w:r>
          </w:p>
        </w:tc>
        <w:tc>
          <w:tcPr>
            <w:tcW w:w="3213" w:type="dxa"/>
            <w:tcBorders>
              <w:top w:val="single" w:color="auto" w:sz="2" w:space="0"/>
              <w:left w:val="single" w:color="auto" w:sz="2" w:space="0"/>
              <w:bottom w:val="single" w:color="auto" w:sz="2" w:space="0"/>
              <w:right w:val="single" w:color="auto" w:sz="2" w:space="0"/>
            </w:tcBorders>
            <w:vAlign w:val="center"/>
          </w:tcPr>
          <w:p w14:paraId="3D08E09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5,779.82</w:t>
            </w:r>
          </w:p>
        </w:tc>
      </w:tr>
    </w:tbl>
    <w:p w14:paraId="1C100E68">
      <w:pPr>
        <w:keepNext/>
        <w:keepLines/>
        <w:spacing w:before="300" w:after="300" w:line="280" w:lineRule="exact"/>
        <w:jc w:val="left"/>
        <w:outlineLvl w:val="3"/>
        <w:rPr>
          <w:rFonts w:ascii="宋体" w:hAnsi="宋体" w:eastAsia="宋体" w:cs="宋体"/>
          <w:b/>
          <w:bCs/>
          <w:color w:val="auto"/>
          <w:sz w:val="18"/>
          <w:szCs w:val="18"/>
        </w:rPr>
      </w:pPr>
      <w:bookmarkStart w:id="225" w:name="_Toc989201"/>
      <w:r>
        <w:rPr>
          <w:rFonts w:ascii="宋体" w:hAnsi="宋体" w:eastAsia="宋体" w:cs="宋体"/>
          <w:b/>
          <w:bCs/>
          <w:color w:val="auto"/>
          <w:sz w:val="18"/>
          <w:szCs w:val="18"/>
        </w:rPr>
        <w:t>（2）账龄超过1年或逾期的重要预收款项</w:t>
      </w:r>
      <w:bookmarkEnd w:id="225"/>
    </w:p>
    <w:p w14:paraId="52730C0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836C3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F514B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35C1E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5A8BC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未偿还或结转的原因</w:t>
            </w:r>
          </w:p>
        </w:tc>
      </w:tr>
    </w:tbl>
    <w:p w14:paraId="101DEC30">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3EA26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3E5EA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844E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变动金额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F815F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变动原因</w:t>
            </w:r>
          </w:p>
        </w:tc>
      </w:tr>
    </w:tbl>
    <w:p w14:paraId="7C8EAF88">
      <w:pPr>
        <w:keepNext/>
        <w:keepLines/>
        <w:spacing w:before="300" w:after="300" w:line="280" w:lineRule="exact"/>
        <w:jc w:val="left"/>
        <w:outlineLvl w:val="2"/>
        <w:rPr>
          <w:rFonts w:ascii="宋体" w:hAnsi="宋体" w:eastAsia="宋体" w:cs="宋体"/>
          <w:b/>
          <w:bCs/>
          <w:color w:val="auto"/>
          <w:sz w:val="21"/>
          <w:szCs w:val="21"/>
        </w:rPr>
      </w:pPr>
      <w:bookmarkStart w:id="226" w:name="_Toc989202"/>
      <w:r>
        <w:rPr>
          <w:rFonts w:ascii="宋体" w:hAnsi="宋体" w:eastAsia="宋体" w:cs="宋体"/>
          <w:b/>
          <w:bCs/>
          <w:color w:val="auto"/>
          <w:sz w:val="21"/>
          <w:szCs w:val="21"/>
        </w:rPr>
        <w:t>39、合同负债</w:t>
      </w:r>
      <w:bookmarkEnd w:id="226"/>
    </w:p>
    <w:p w14:paraId="2C4321D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FF453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8210A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928CC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CB8D4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0FAA24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C1EF4F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待执行销售合同</w:t>
            </w:r>
          </w:p>
        </w:tc>
        <w:tc>
          <w:tcPr>
            <w:tcW w:w="3213" w:type="dxa"/>
            <w:tcBorders>
              <w:top w:val="single" w:color="auto" w:sz="2" w:space="0"/>
              <w:left w:val="single" w:color="auto" w:sz="2" w:space="0"/>
              <w:bottom w:val="single" w:color="auto" w:sz="2" w:space="0"/>
              <w:right w:val="single" w:color="auto" w:sz="2" w:space="0"/>
            </w:tcBorders>
            <w:vAlign w:val="center"/>
          </w:tcPr>
          <w:p w14:paraId="610A22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5,424,274.65</w:t>
            </w:r>
          </w:p>
        </w:tc>
        <w:tc>
          <w:tcPr>
            <w:tcW w:w="3213" w:type="dxa"/>
            <w:tcBorders>
              <w:top w:val="single" w:color="auto" w:sz="2" w:space="0"/>
              <w:left w:val="single" w:color="auto" w:sz="2" w:space="0"/>
              <w:bottom w:val="single" w:color="auto" w:sz="2" w:space="0"/>
              <w:right w:val="single" w:color="auto" w:sz="2" w:space="0"/>
            </w:tcBorders>
            <w:vAlign w:val="center"/>
          </w:tcPr>
          <w:p w14:paraId="0EA50D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3,566,027.15</w:t>
            </w:r>
          </w:p>
        </w:tc>
      </w:tr>
      <w:tr w14:paraId="211869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9C16C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A6873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5,424,274.65</w:t>
            </w:r>
          </w:p>
        </w:tc>
        <w:tc>
          <w:tcPr>
            <w:tcW w:w="3213" w:type="dxa"/>
            <w:tcBorders>
              <w:top w:val="single" w:color="auto" w:sz="2" w:space="0"/>
              <w:left w:val="single" w:color="auto" w:sz="2" w:space="0"/>
              <w:bottom w:val="single" w:color="auto" w:sz="2" w:space="0"/>
              <w:right w:val="single" w:color="auto" w:sz="2" w:space="0"/>
            </w:tcBorders>
            <w:vAlign w:val="center"/>
          </w:tcPr>
          <w:p w14:paraId="72AD1E0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3,566,027.15</w:t>
            </w:r>
          </w:p>
        </w:tc>
      </w:tr>
    </w:tbl>
    <w:p w14:paraId="09B9B89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账龄超过1年的重要合同负债</w:t>
      </w:r>
    </w:p>
    <w:p w14:paraId="5DBEB7D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FEE8A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0F244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AF3DF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B36F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未偿还或结转的原因</w:t>
            </w:r>
          </w:p>
        </w:tc>
      </w:tr>
    </w:tbl>
    <w:p w14:paraId="51750A4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报告期内账面价值发生重大变动的金额和原因</w:t>
      </w:r>
    </w:p>
    <w:p w14:paraId="65095F3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20"/>
        <w:gridCol w:w="820"/>
        <w:gridCol w:w="8000"/>
      </w:tblGrid>
      <w:tr w14:paraId="23E1E1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20" w:type="dxa"/>
            <w:tcBorders>
              <w:top w:val="single" w:color="auto" w:sz="2" w:space="0"/>
              <w:left w:val="single" w:color="auto" w:sz="2" w:space="0"/>
              <w:bottom w:val="single" w:color="auto" w:sz="2" w:space="0"/>
              <w:right w:val="single" w:color="auto" w:sz="2" w:space="0"/>
            </w:tcBorders>
            <w:shd w:val="clear" w:color="auto" w:fill="D3D3D3"/>
            <w:vAlign w:val="center"/>
          </w:tcPr>
          <w:p w14:paraId="51D2DA8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820" w:type="dxa"/>
            <w:tcBorders>
              <w:top w:val="single" w:color="auto" w:sz="2" w:space="0"/>
              <w:left w:val="single" w:color="auto" w:sz="2" w:space="0"/>
              <w:bottom w:val="single" w:color="auto" w:sz="2" w:space="0"/>
              <w:right w:val="single" w:color="auto" w:sz="2" w:space="0"/>
            </w:tcBorders>
            <w:shd w:val="clear" w:color="auto" w:fill="D3D3D3"/>
            <w:vAlign w:val="center"/>
          </w:tcPr>
          <w:p w14:paraId="27397E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变动金额</w:t>
            </w:r>
          </w:p>
        </w:tc>
        <w:tc>
          <w:tcPr>
            <w:tcW w:w="8000" w:type="dxa"/>
            <w:tcBorders>
              <w:top w:val="single" w:color="auto" w:sz="2" w:space="0"/>
              <w:left w:val="single" w:color="auto" w:sz="2" w:space="0"/>
              <w:bottom w:val="single" w:color="auto" w:sz="2" w:space="0"/>
              <w:right w:val="single" w:color="auto" w:sz="2" w:space="0"/>
            </w:tcBorders>
            <w:shd w:val="clear" w:color="auto" w:fill="D3D3D3"/>
            <w:vAlign w:val="center"/>
          </w:tcPr>
          <w:p w14:paraId="3334362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变动原因</w:t>
            </w:r>
          </w:p>
        </w:tc>
      </w:tr>
    </w:tbl>
    <w:p w14:paraId="0B2DA97D">
      <w:pPr>
        <w:keepNext/>
        <w:keepLines/>
        <w:spacing w:before="300" w:after="300" w:line="280" w:lineRule="exact"/>
        <w:jc w:val="left"/>
        <w:outlineLvl w:val="2"/>
        <w:rPr>
          <w:rFonts w:ascii="宋体" w:hAnsi="宋体" w:eastAsia="宋体" w:cs="宋体"/>
          <w:b/>
          <w:bCs/>
          <w:color w:val="auto"/>
          <w:sz w:val="21"/>
          <w:szCs w:val="21"/>
        </w:rPr>
      </w:pPr>
      <w:bookmarkStart w:id="227" w:name="_Toc989203"/>
      <w:r>
        <w:rPr>
          <w:rFonts w:ascii="宋体" w:hAnsi="宋体" w:eastAsia="宋体" w:cs="宋体"/>
          <w:b/>
          <w:bCs/>
          <w:color w:val="auto"/>
          <w:sz w:val="21"/>
          <w:szCs w:val="21"/>
        </w:rPr>
        <w:t>40、应付职工薪酬</w:t>
      </w:r>
      <w:bookmarkEnd w:id="227"/>
    </w:p>
    <w:p w14:paraId="7EE011BB">
      <w:pPr>
        <w:keepNext/>
        <w:keepLines/>
        <w:spacing w:before="300" w:after="300" w:line="280" w:lineRule="exact"/>
        <w:jc w:val="left"/>
        <w:outlineLvl w:val="3"/>
        <w:rPr>
          <w:rFonts w:ascii="宋体" w:hAnsi="宋体" w:eastAsia="宋体" w:cs="宋体"/>
          <w:b/>
          <w:bCs/>
          <w:color w:val="auto"/>
          <w:sz w:val="21"/>
          <w:szCs w:val="21"/>
        </w:rPr>
      </w:pPr>
      <w:bookmarkStart w:id="228" w:name="_Toc989204"/>
      <w:r>
        <w:rPr>
          <w:rFonts w:ascii="宋体" w:hAnsi="宋体" w:eastAsia="宋体" w:cs="宋体"/>
          <w:b/>
          <w:bCs/>
          <w:color w:val="auto"/>
          <w:sz w:val="21"/>
          <w:szCs w:val="21"/>
        </w:rPr>
        <w:t>（1）应付职工薪酬列示</w:t>
      </w:r>
      <w:bookmarkEnd w:id="228"/>
    </w:p>
    <w:p w14:paraId="09A4E88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F67FA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880734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5EE1F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012D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52F606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3F678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41A74F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BA0A56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一、短期薪酬</w:t>
            </w:r>
          </w:p>
        </w:tc>
        <w:tc>
          <w:tcPr>
            <w:tcW w:w="1928" w:type="dxa"/>
            <w:tcBorders>
              <w:top w:val="single" w:color="auto" w:sz="2" w:space="0"/>
              <w:left w:val="single" w:color="auto" w:sz="2" w:space="0"/>
              <w:bottom w:val="single" w:color="auto" w:sz="2" w:space="0"/>
              <w:right w:val="single" w:color="auto" w:sz="2" w:space="0"/>
            </w:tcBorders>
            <w:vAlign w:val="center"/>
          </w:tcPr>
          <w:p w14:paraId="61CB15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11,617,308.83</w:t>
            </w:r>
          </w:p>
        </w:tc>
        <w:tc>
          <w:tcPr>
            <w:tcW w:w="1928" w:type="dxa"/>
            <w:tcBorders>
              <w:top w:val="single" w:color="auto" w:sz="2" w:space="0"/>
              <w:left w:val="single" w:color="auto" w:sz="2" w:space="0"/>
              <w:bottom w:val="single" w:color="auto" w:sz="2" w:space="0"/>
              <w:right w:val="single" w:color="auto" w:sz="2" w:space="0"/>
            </w:tcBorders>
            <w:vAlign w:val="center"/>
          </w:tcPr>
          <w:p w14:paraId="494CE86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67,909,590.73</w:t>
            </w:r>
          </w:p>
        </w:tc>
        <w:tc>
          <w:tcPr>
            <w:tcW w:w="1928" w:type="dxa"/>
            <w:tcBorders>
              <w:top w:val="single" w:color="auto" w:sz="2" w:space="0"/>
              <w:left w:val="single" w:color="auto" w:sz="2" w:space="0"/>
              <w:bottom w:val="single" w:color="auto" w:sz="2" w:space="0"/>
              <w:right w:val="single" w:color="auto" w:sz="2" w:space="0"/>
            </w:tcBorders>
            <w:vAlign w:val="center"/>
          </w:tcPr>
          <w:p w14:paraId="6A35C0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71,673,354.56</w:t>
            </w:r>
          </w:p>
        </w:tc>
        <w:tc>
          <w:tcPr>
            <w:tcW w:w="1928" w:type="dxa"/>
            <w:tcBorders>
              <w:top w:val="single" w:color="auto" w:sz="2" w:space="0"/>
              <w:left w:val="single" w:color="auto" w:sz="2" w:space="0"/>
              <w:bottom w:val="single" w:color="auto" w:sz="2" w:space="0"/>
              <w:right w:val="single" w:color="auto" w:sz="2" w:space="0"/>
            </w:tcBorders>
            <w:vAlign w:val="center"/>
          </w:tcPr>
          <w:p w14:paraId="37DD639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7,853,545.00</w:t>
            </w:r>
          </w:p>
        </w:tc>
      </w:tr>
      <w:tr w14:paraId="0A35B0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62511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二、离职后福利-设定提存计划</w:t>
            </w:r>
          </w:p>
        </w:tc>
        <w:tc>
          <w:tcPr>
            <w:tcW w:w="1928" w:type="dxa"/>
            <w:tcBorders>
              <w:top w:val="single" w:color="auto" w:sz="2" w:space="0"/>
              <w:left w:val="single" w:color="auto" w:sz="2" w:space="0"/>
              <w:bottom w:val="single" w:color="auto" w:sz="2" w:space="0"/>
              <w:right w:val="single" w:color="auto" w:sz="2" w:space="0"/>
            </w:tcBorders>
            <w:vAlign w:val="center"/>
          </w:tcPr>
          <w:p w14:paraId="23017634">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2FC63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4,134,688.36</w:t>
            </w:r>
          </w:p>
        </w:tc>
        <w:tc>
          <w:tcPr>
            <w:tcW w:w="1928" w:type="dxa"/>
            <w:tcBorders>
              <w:top w:val="single" w:color="auto" w:sz="2" w:space="0"/>
              <w:left w:val="single" w:color="auto" w:sz="2" w:space="0"/>
              <w:bottom w:val="single" w:color="auto" w:sz="2" w:space="0"/>
              <w:right w:val="single" w:color="auto" w:sz="2" w:space="0"/>
            </w:tcBorders>
            <w:vAlign w:val="center"/>
          </w:tcPr>
          <w:p w14:paraId="7B6BB7D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4,134,688.36</w:t>
            </w:r>
          </w:p>
        </w:tc>
        <w:tc>
          <w:tcPr>
            <w:tcW w:w="1928" w:type="dxa"/>
            <w:tcBorders>
              <w:top w:val="single" w:color="auto" w:sz="2" w:space="0"/>
              <w:left w:val="single" w:color="auto" w:sz="2" w:space="0"/>
              <w:bottom w:val="single" w:color="auto" w:sz="2" w:space="0"/>
              <w:right w:val="single" w:color="auto" w:sz="2" w:space="0"/>
            </w:tcBorders>
            <w:vAlign w:val="center"/>
          </w:tcPr>
          <w:p w14:paraId="16E8421A">
            <w:pPr>
              <w:spacing w:before="0" w:after="0" w:line="240" w:lineRule="exact"/>
              <w:jc w:val="right"/>
              <w:rPr>
                <w:rFonts w:ascii="宋体" w:hAnsi="宋体" w:eastAsia="宋体" w:cs="宋体"/>
                <w:color w:val="auto"/>
                <w:sz w:val="18"/>
                <w:szCs w:val="18"/>
              </w:rPr>
            </w:pPr>
          </w:p>
        </w:tc>
      </w:tr>
      <w:tr w14:paraId="546E52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215DEB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三、辞退福利</w:t>
            </w:r>
          </w:p>
        </w:tc>
        <w:tc>
          <w:tcPr>
            <w:tcW w:w="1928" w:type="dxa"/>
            <w:tcBorders>
              <w:top w:val="single" w:color="auto" w:sz="2" w:space="0"/>
              <w:left w:val="single" w:color="auto" w:sz="2" w:space="0"/>
              <w:bottom w:val="single" w:color="auto" w:sz="2" w:space="0"/>
              <w:right w:val="single" w:color="auto" w:sz="2" w:space="0"/>
            </w:tcBorders>
            <w:vAlign w:val="center"/>
          </w:tcPr>
          <w:p w14:paraId="4FC0EFD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54,519.00</w:t>
            </w:r>
          </w:p>
        </w:tc>
        <w:tc>
          <w:tcPr>
            <w:tcW w:w="1928" w:type="dxa"/>
            <w:tcBorders>
              <w:top w:val="single" w:color="auto" w:sz="2" w:space="0"/>
              <w:left w:val="single" w:color="auto" w:sz="2" w:space="0"/>
              <w:bottom w:val="single" w:color="auto" w:sz="2" w:space="0"/>
              <w:right w:val="single" w:color="auto" w:sz="2" w:space="0"/>
            </w:tcBorders>
            <w:vAlign w:val="center"/>
          </w:tcPr>
          <w:p w14:paraId="4E7CF6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1,448,794.82</w:t>
            </w:r>
          </w:p>
        </w:tc>
        <w:tc>
          <w:tcPr>
            <w:tcW w:w="1928" w:type="dxa"/>
            <w:tcBorders>
              <w:top w:val="single" w:color="auto" w:sz="2" w:space="0"/>
              <w:left w:val="single" w:color="auto" w:sz="2" w:space="0"/>
              <w:bottom w:val="single" w:color="auto" w:sz="2" w:space="0"/>
              <w:right w:val="single" w:color="auto" w:sz="2" w:space="0"/>
            </w:tcBorders>
            <w:vAlign w:val="center"/>
          </w:tcPr>
          <w:p w14:paraId="62F5D00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1,473,313.82</w:t>
            </w:r>
          </w:p>
        </w:tc>
        <w:tc>
          <w:tcPr>
            <w:tcW w:w="1928" w:type="dxa"/>
            <w:tcBorders>
              <w:top w:val="single" w:color="auto" w:sz="2" w:space="0"/>
              <w:left w:val="single" w:color="auto" w:sz="2" w:space="0"/>
              <w:bottom w:val="single" w:color="auto" w:sz="2" w:space="0"/>
              <w:right w:val="single" w:color="auto" w:sz="2" w:space="0"/>
            </w:tcBorders>
            <w:vAlign w:val="center"/>
          </w:tcPr>
          <w:p w14:paraId="67E717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30,000.00</w:t>
            </w:r>
          </w:p>
        </w:tc>
      </w:tr>
      <w:tr w14:paraId="5BD611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61D63E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0AEEC4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11,671,827.83</w:t>
            </w:r>
          </w:p>
        </w:tc>
        <w:tc>
          <w:tcPr>
            <w:tcW w:w="1928" w:type="dxa"/>
            <w:tcBorders>
              <w:top w:val="single" w:color="auto" w:sz="2" w:space="0"/>
              <w:left w:val="single" w:color="auto" w:sz="2" w:space="0"/>
              <w:bottom w:val="single" w:color="auto" w:sz="2" w:space="0"/>
              <w:right w:val="single" w:color="auto" w:sz="2" w:space="0"/>
            </w:tcBorders>
            <w:vAlign w:val="center"/>
          </w:tcPr>
          <w:p w14:paraId="01E245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73,493,073.91</w:t>
            </w:r>
          </w:p>
        </w:tc>
        <w:tc>
          <w:tcPr>
            <w:tcW w:w="1928" w:type="dxa"/>
            <w:tcBorders>
              <w:top w:val="single" w:color="auto" w:sz="2" w:space="0"/>
              <w:left w:val="single" w:color="auto" w:sz="2" w:space="0"/>
              <w:bottom w:val="single" w:color="auto" w:sz="2" w:space="0"/>
              <w:right w:val="single" w:color="auto" w:sz="2" w:space="0"/>
            </w:tcBorders>
            <w:vAlign w:val="center"/>
          </w:tcPr>
          <w:p w14:paraId="59CB5E2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77,281,356.74</w:t>
            </w:r>
          </w:p>
        </w:tc>
        <w:tc>
          <w:tcPr>
            <w:tcW w:w="1928" w:type="dxa"/>
            <w:tcBorders>
              <w:top w:val="single" w:color="auto" w:sz="2" w:space="0"/>
              <w:left w:val="single" w:color="auto" w:sz="2" w:space="0"/>
              <w:bottom w:val="single" w:color="auto" w:sz="2" w:space="0"/>
              <w:right w:val="single" w:color="auto" w:sz="2" w:space="0"/>
            </w:tcBorders>
            <w:vAlign w:val="center"/>
          </w:tcPr>
          <w:p w14:paraId="17A507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7,883,545.00</w:t>
            </w:r>
          </w:p>
        </w:tc>
      </w:tr>
    </w:tbl>
    <w:p w14:paraId="0540624B">
      <w:pPr>
        <w:keepNext/>
        <w:keepLines/>
        <w:spacing w:before="300" w:after="300" w:line="280" w:lineRule="exact"/>
        <w:jc w:val="left"/>
        <w:outlineLvl w:val="3"/>
        <w:rPr>
          <w:rFonts w:ascii="宋体" w:hAnsi="宋体" w:eastAsia="宋体" w:cs="宋体"/>
          <w:b/>
          <w:bCs/>
          <w:color w:val="auto"/>
          <w:sz w:val="21"/>
          <w:szCs w:val="21"/>
        </w:rPr>
      </w:pPr>
      <w:bookmarkStart w:id="229" w:name="_Toc989205"/>
      <w:r>
        <w:rPr>
          <w:rFonts w:ascii="宋体" w:hAnsi="宋体" w:eastAsia="宋体" w:cs="宋体"/>
          <w:b/>
          <w:bCs/>
          <w:color w:val="auto"/>
          <w:sz w:val="21"/>
          <w:szCs w:val="21"/>
        </w:rPr>
        <w:t>（2）短期薪酬列示</w:t>
      </w:r>
      <w:bookmarkEnd w:id="229"/>
    </w:p>
    <w:p w14:paraId="552130A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3A049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F2151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D6800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3E5A28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6F4AA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34D27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59F213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D155C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1、工资、奖金、津贴和补贴</w:t>
            </w:r>
          </w:p>
        </w:tc>
        <w:tc>
          <w:tcPr>
            <w:tcW w:w="1928" w:type="dxa"/>
            <w:tcBorders>
              <w:top w:val="single" w:color="auto" w:sz="2" w:space="0"/>
              <w:left w:val="single" w:color="auto" w:sz="2" w:space="0"/>
              <w:bottom w:val="single" w:color="auto" w:sz="2" w:space="0"/>
              <w:right w:val="single" w:color="auto" w:sz="2" w:space="0"/>
            </w:tcBorders>
            <w:vAlign w:val="center"/>
          </w:tcPr>
          <w:p w14:paraId="5F5AE6D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11,360,510.02</w:t>
            </w:r>
          </w:p>
        </w:tc>
        <w:tc>
          <w:tcPr>
            <w:tcW w:w="1928" w:type="dxa"/>
            <w:tcBorders>
              <w:top w:val="single" w:color="auto" w:sz="2" w:space="0"/>
              <w:left w:val="single" w:color="auto" w:sz="2" w:space="0"/>
              <w:bottom w:val="single" w:color="auto" w:sz="2" w:space="0"/>
              <w:right w:val="single" w:color="auto" w:sz="2" w:space="0"/>
            </w:tcBorders>
            <w:vAlign w:val="center"/>
          </w:tcPr>
          <w:p w14:paraId="7DEABB1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60,050,978.72</w:t>
            </w:r>
          </w:p>
        </w:tc>
        <w:tc>
          <w:tcPr>
            <w:tcW w:w="1928" w:type="dxa"/>
            <w:tcBorders>
              <w:top w:val="single" w:color="auto" w:sz="2" w:space="0"/>
              <w:left w:val="single" w:color="auto" w:sz="2" w:space="0"/>
              <w:bottom w:val="single" w:color="auto" w:sz="2" w:space="0"/>
              <w:right w:val="single" w:color="auto" w:sz="2" w:space="0"/>
            </w:tcBorders>
            <w:vAlign w:val="center"/>
          </w:tcPr>
          <w:p w14:paraId="271AF91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63,720,659.79</w:t>
            </w:r>
          </w:p>
        </w:tc>
        <w:tc>
          <w:tcPr>
            <w:tcW w:w="1928" w:type="dxa"/>
            <w:tcBorders>
              <w:top w:val="single" w:color="auto" w:sz="2" w:space="0"/>
              <w:left w:val="single" w:color="auto" w:sz="2" w:space="0"/>
              <w:bottom w:val="single" w:color="auto" w:sz="2" w:space="0"/>
              <w:right w:val="single" w:color="auto" w:sz="2" w:space="0"/>
            </w:tcBorders>
            <w:vAlign w:val="center"/>
          </w:tcPr>
          <w:p w14:paraId="7C1DA3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7,690,828.95</w:t>
            </w:r>
          </w:p>
        </w:tc>
      </w:tr>
      <w:tr w14:paraId="61BD01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11026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2、职工福利费</w:t>
            </w:r>
          </w:p>
        </w:tc>
        <w:tc>
          <w:tcPr>
            <w:tcW w:w="1928" w:type="dxa"/>
            <w:tcBorders>
              <w:top w:val="single" w:color="auto" w:sz="2" w:space="0"/>
              <w:left w:val="single" w:color="auto" w:sz="2" w:space="0"/>
              <w:bottom w:val="single" w:color="auto" w:sz="2" w:space="0"/>
              <w:right w:val="single" w:color="auto" w:sz="2" w:space="0"/>
            </w:tcBorders>
            <w:vAlign w:val="center"/>
          </w:tcPr>
          <w:p w14:paraId="5ABE8A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62,800.00</w:t>
            </w:r>
          </w:p>
        </w:tc>
        <w:tc>
          <w:tcPr>
            <w:tcW w:w="1928" w:type="dxa"/>
            <w:tcBorders>
              <w:top w:val="single" w:color="auto" w:sz="2" w:space="0"/>
              <w:left w:val="single" w:color="auto" w:sz="2" w:space="0"/>
              <w:bottom w:val="single" w:color="auto" w:sz="2" w:space="0"/>
              <w:right w:val="single" w:color="auto" w:sz="2" w:space="0"/>
            </w:tcBorders>
            <w:vAlign w:val="center"/>
          </w:tcPr>
          <w:p w14:paraId="5161FA7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3,008,540.46</w:t>
            </w:r>
          </w:p>
        </w:tc>
        <w:tc>
          <w:tcPr>
            <w:tcW w:w="1928" w:type="dxa"/>
            <w:tcBorders>
              <w:top w:val="single" w:color="auto" w:sz="2" w:space="0"/>
              <w:left w:val="single" w:color="auto" w:sz="2" w:space="0"/>
              <w:bottom w:val="single" w:color="auto" w:sz="2" w:space="0"/>
              <w:right w:val="single" w:color="auto" w:sz="2" w:space="0"/>
            </w:tcBorders>
            <w:vAlign w:val="center"/>
          </w:tcPr>
          <w:p w14:paraId="2BB2A5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3,071,340.46</w:t>
            </w:r>
          </w:p>
        </w:tc>
        <w:tc>
          <w:tcPr>
            <w:tcW w:w="1928" w:type="dxa"/>
            <w:tcBorders>
              <w:top w:val="single" w:color="auto" w:sz="2" w:space="0"/>
              <w:left w:val="single" w:color="auto" w:sz="2" w:space="0"/>
              <w:bottom w:val="single" w:color="auto" w:sz="2" w:space="0"/>
              <w:right w:val="single" w:color="auto" w:sz="2" w:space="0"/>
            </w:tcBorders>
            <w:vAlign w:val="center"/>
          </w:tcPr>
          <w:p w14:paraId="472B137E">
            <w:pPr>
              <w:spacing w:before="0" w:after="0" w:line="240" w:lineRule="exact"/>
              <w:jc w:val="right"/>
              <w:rPr>
                <w:rFonts w:ascii="宋体" w:hAnsi="宋体" w:eastAsia="宋体" w:cs="宋体"/>
                <w:color w:val="auto"/>
                <w:sz w:val="18"/>
                <w:szCs w:val="18"/>
              </w:rPr>
            </w:pPr>
          </w:p>
        </w:tc>
      </w:tr>
      <w:tr w14:paraId="0AC0DC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9131A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3、社会保险费</w:t>
            </w:r>
          </w:p>
        </w:tc>
        <w:tc>
          <w:tcPr>
            <w:tcW w:w="1928" w:type="dxa"/>
            <w:tcBorders>
              <w:top w:val="single" w:color="auto" w:sz="2" w:space="0"/>
              <w:left w:val="single" w:color="auto" w:sz="2" w:space="0"/>
              <w:bottom w:val="single" w:color="auto" w:sz="2" w:space="0"/>
              <w:right w:val="single" w:color="auto" w:sz="2" w:space="0"/>
            </w:tcBorders>
            <w:vAlign w:val="center"/>
          </w:tcPr>
          <w:p w14:paraId="699739E8">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863AB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2,453,213.59</w:t>
            </w:r>
          </w:p>
        </w:tc>
        <w:tc>
          <w:tcPr>
            <w:tcW w:w="1928" w:type="dxa"/>
            <w:tcBorders>
              <w:top w:val="single" w:color="auto" w:sz="2" w:space="0"/>
              <w:left w:val="single" w:color="auto" w:sz="2" w:space="0"/>
              <w:bottom w:val="single" w:color="auto" w:sz="2" w:space="0"/>
              <w:right w:val="single" w:color="auto" w:sz="2" w:space="0"/>
            </w:tcBorders>
            <w:vAlign w:val="center"/>
          </w:tcPr>
          <w:p w14:paraId="23EA65F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2,453,213.59</w:t>
            </w:r>
          </w:p>
        </w:tc>
        <w:tc>
          <w:tcPr>
            <w:tcW w:w="1928" w:type="dxa"/>
            <w:tcBorders>
              <w:top w:val="single" w:color="auto" w:sz="2" w:space="0"/>
              <w:left w:val="single" w:color="auto" w:sz="2" w:space="0"/>
              <w:bottom w:val="single" w:color="auto" w:sz="2" w:space="0"/>
              <w:right w:val="single" w:color="auto" w:sz="2" w:space="0"/>
            </w:tcBorders>
            <w:vAlign w:val="center"/>
          </w:tcPr>
          <w:p w14:paraId="563C3D19">
            <w:pPr>
              <w:spacing w:before="0" w:after="0" w:line="240" w:lineRule="exact"/>
              <w:jc w:val="right"/>
              <w:rPr>
                <w:rFonts w:ascii="宋体" w:hAnsi="宋体" w:eastAsia="宋体" w:cs="宋体"/>
                <w:color w:val="auto"/>
                <w:sz w:val="18"/>
                <w:szCs w:val="18"/>
              </w:rPr>
            </w:pPr>
          </w:p>
        </w:tc>
      </w:tr>
      <w:tr w14:paraId="568F84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AD1806F">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其中：医疗保险费</w:t>
            </w:r>
          </w:p>
        </w:tc>
        <w:tc>
          <w:tcPr>
            <w:tcW w:w="1928" w:type="dxa"/>
            <w:tcBorders>
              <w:top w:val="single" w:color="auto" w:sz="2" w:space="0"/>
              <w:left w:val="single" w:color="auto" w:sz="2" w:space="0"/>
              <w:bottom w:val="single" w:color="auto" w:sz="2" w:space="0"/>
              <w:right w:val="single" w:color="auto" w:sz="2" w:space="0"/>
            </w:tcBorders>
            <w:vAlign w:val="center"/>
          </w:tcPr>
          <w:p w14:paraId="065A88F5">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6F712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2,165,390.54</w:t>
            </w:r>
          </w:p>
        </w:tc>
        <w:tc>
          <w:tcPr>
            <w:tcW w:w="1928" w:type="dxa"/>
            <w:tcBorders>
              <w:top w:val="single" w:color="auto" w:sz="2" w:space="0"/>
              <w:left w:val="single" w:color="auto" w:sz="2" w:space="0"/>
              <w:bottom w:val="single" w:color="auto" w:sz="2" w:space="0"/>
              <w:right w:val="single" w:color="auto" w:sz="2" w:space="0"/>
            </w:tcBorders>
            <w:vAlign w:val="center"/>
          </w:tcPr>
          <w:p w14:paraId="3C4A6F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2,165,390.54</w:t>
            </w:r>
          </w:p>
        </w:tc>
        <w:tc>
          <w:tcPr>
            <w:tcW w:w="1928" w:type="dxa"/>
            <w:tcBorders>
              <w:top w:val="single" w:color="auto" w:sz="2" w:space="0"/>
              <w:left w:val="single" w:color="auto" w:sz="2" w:space="0"/>
              <w:bottom w:val="single" w:color="auto" w:sz="2" w:space="0"/>
              <w:right w:val="single" w:color="auto" w:sz="2" w:space="0"/>
            </w:tcBorders>
            <w:vAlign w:val="center"/>
          </w:tcPr>
          <w:p w14:paraId="708AB7AC">
            <w:pPr>
              <w:spacing w:before="0" w:after="0" w:line="240" w:lineRule="exact"/>
              <w:jc w:val="right"/>
              <w:rPr>
                <w:rFonts w:ascii="宋体" w:hAnsi="宋体" w:eastAsia="宋体" w:cs="宋体"/>
                <w:color w:val="auto"/>
                <w:sz w:val="18"/>
                <w:szCs w:val="18"/>
              </w:rPr>
            </w:pPr>
          </w:p>
        </w:tc>
      </w:tr>
      <w:tr w14:paraId="2BDB24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701DF8">
            <w:pPr>
              <w:spacing w:before="40" w:after="4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工伤保险费</w:t>
            </w:r>
          </w:p>
        </w:tc>
        <w:tc>
          <w:tcPr>
            <w:tcW w:w="1928" w:type="dxa"/>
            <w:tcBorders>
              <w:top w:val="single" w:color="auto" w:sz="2" w:space="0"/>
              <w:left w:val="single" w:color="auto" w:sz="2" w:space="0"/>
              <w:bottom w:val="single" w:color="auto" w:sz="2" w:space="0"/>
              <w:right w:val="single" w:color="auto" w:sz="2" w:space="0"/>
            </w:tcBorders>
            <w:vAlign w:val="center"/>
          </w:tcPr>
          <w:p w14:paraId="3674E54C">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4CCC0FD">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rPr>
              <w:t>175,429.49</w:t>
            </w:r>
          </w:p>
        </w:tc>
        <w:tc>
          <w:tcPr>
            <w:tcW w:w="1928" w:type="dxa"/>
            <w:tcBorders>
              <w:top w:val="single" w:color="auto" w:sz="2" w:space="0"/>
              <w:left w:val="single" w:color="auto" w:sz="2" w:space="0"/>
              <w:bottom w:val="single" w:color="auto" w:sz="2" w:space="0"/>
              <w:right w:val="single" w:color="auto" w:sz="2" w:space="0"/>
            </w:tcBorders>
            <w:vAlign w:val="center"/>
          </w:tcPr>
          <w:p w14:paraId="1551685F">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rPr>
              <w:t>175,429.49</w:t>
            </w:r>
          </w:p>
        </w:tc>
        <w:tc>
          <w:tcPr>
            <w:tcW w:w="1928" w:type="dxa"/>
            <w:tcBorders>
              <w:top w:val="single" w:color="auto" w:sz="2" w:space="0"/>
              <w:left w:val="single" w:color="auto" w:sz="2" w:space="0"/>
              <w:bottom w:val="single" w:color="auto" w:sz="2" w:space="0"/>
              <w:right w:val="single" w:color="auto" w:sz="2" w:space="0"/>
            </w:tcBorders>
            <w:vAlign w:val="center"/>
          </w:tcPr>
          <w:p w14:paraId="4976D7E3">
            <w:pPr>
              <w:spacing w:before="0" w:after="0" w:line="240" w:lineRule="exact"/>
              <w:jc w:val="right"/>
              <w:rPr>
                <w:rFonts w:ascii="宋体" w:hAnsi="宋体" w:eastAsia="宋体" w:cs="宋体"/>
                <w:color w:val="auto"/>
                <w:sz w:val="18"/>
                <w:szCs w:val="18"/>
              </w:rPr>
            </w:pPr>
          </w:p>
        </w:tc>
      </w:tr>
      <w:tr w14:paraId="4B3B6D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E2384B">
            <w:pPr>
              <w:spacing w:before="40" w:after="40" w:line="240" w:lineRule="exact"/>
              <w:ind w:firstLine="900" w:firstLineChars="500"/>
              <w:jc w:val="left"/>
              <w:rPr>
                <w:rFonts w:ascii="宋体" w:hAnsi="宋体" w:eastAsia="宋体" w:cs="宋体"/>
                <w:color w:val="auto"/>
                <w:sz w:val="18"/>
                <w:szCs w:val="18"/>
              </w:rPr>
            </w:pPr>
            <w:r>
              <w:rPr>
                <w:rFonts w:ascii="宋体" w:hAnsi="宋体" w:eastAsia="宋体" w:cs="宋体"/>
                <w:color w:val="auto"/>
                <w:sz w:val="18"/>
                <w:szCs w:val="18"/>
              </w:rPr>
              <w:t>生育保险费</w:t>
            </w:r>
          </w:p>
        </w:tc>
        <w:tc>
          <w:tcPr>
            <w:tcW w:w="1928" w:type="dxa"/>
            <w:tcBorders>
              <w:top w:val="single" w:color="auto" w:sz="2" w:space="0"/>
              <w:left w:val="single" w:color="auto" w:sz="2" w:space="0"/>
              <w:bottom w:val="single" w:color="auto" w:sz="2" w:space="0"/>
              <w:right w:val="single" w:color="auto" w:sz="2" w:space="0"/>
            </w:tcBorders>
            <w:vAlign w:val="center"/>
          </w:tcPr>
          <w:p w14:paraId="310394C8">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A5E5C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112,393.56</w:t>
            </w:r>
          </w:p>
        </w:tc>
        <w:tc>
          <w:tcPr>
            <w:tcW w:w="1928" w:type="dxa"/>
            <w:tcBorders>
              <w:top w:val="single" w:color="auto" w:sz="2" w:space="0"/>
              <w:left w:val="single" w:color="auto" w:sz="2" w:space="0"/>
              <w:bottom w:val="single" w:color="auto" w:sz="2" w:space="0"/>
              <w:right w:val="single" w:color="auto" w:sz="2" w:space="0"/>
            </w:tcBorders>
            <w:vAlign w:val="center"/>
          </w:tcPr>
          <w:p w14:paraId="6692CF8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112,393.56</w:t>
            </w:r>
          </w:p>
        </w:tc>
        <w:tc>
          <w:tcPr>
            <w:tcW w:w="1928" w:type="dxa"/>
            <w:tcBorders>
              <w:top w:val="single" w:color="auto" w:sz="2" w:space="0"/>
              <w:left w:val="single" w:color="auto" w:sz="2" w:space="0"/>
              <w:bottom w:val="single" w:color="auto" w:sz="2" w:space="0"/>
              <w:right w:val="single" w:color="auto" w:sz="2" w:space="0"/>
            </w:tcBorders>
            <w:vAlign w:val="center"/>
          </w:tcPr>
          <w:p w14:paraId="7E3426CC">
            <w:pPr>
              <w:spacing w:before="0" w:after="0" w:line="240" w:lineRule="exact"/>
              <w:jc w:val="right"/>
              <w:rPr>
                <w:rFonts w:ascii="宋体" w:hAnsi="宋体" w:eastAsia="宋体" w:cs="宋体"/>
                <w:color w:val="auto"/>
                <w:sz w:val="18"/>
                <w:szCs w:val="18"/>
              </w:rPr>
            </w:pPr>
          </w:p>
        </w:tc>
      </w:tr>
      <w:tr w14:paraId="258926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69459F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4、住房公积金</w:t>
            </w:r>
          </w:p>
        </w:tc>
        <w:tc>
          <w:tcPr>
            <w:tcW w:w="1928" w:type="dxa"/>
            <w:tcBorders>
              <w:top w:val="single" w:color="auto" w:sz="2" w:space="0"/>
              <w:left w:val="single" w:color="auto" w:sz="2" w:space="0"/>
              <w:bottom w:val="single" w:color="auto" w:sz="2" w:space="0"/>
              <w:right w:val="single" w:color="auto" w:sz="2" w:space="0"/>
            </w:tcBorders>
            <w:vAlign w:val="center"/>
          </w:tcPr>
          <w:p w14:paraId="20B71B5E">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02DFDD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1,890,582.72</w:t>
            </w:r>
          </w:p>
        </w:tc>
        <w:tc>
          <w:tcPr>
            <w:tcW w:w="1928" w:type="dxa"/>
            <w:tcBorders>
              <w:top w:val="single" w:color="auto" w:sz="2" w:space="0"/>
              <w:left w:val="single" w:color="auto" w:sz="2" w:space="0"/>
              <w:bottom w:val="single" w:color="auto" w:sz="2" w:space="0"/>
              <w:right w:val="single" w:color="auto" w:sz="2" w:space="0"/>
            </w:tcBorders>
            <w:vAlign w:val="center"/>
          </w:tcPr>
          <w:p w14:paraId="4CD413C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1,890,582.72</w:t>
            </w:r>
          </w:p>
        </w:tc>
        <w:tc>
          <w:tcPr>
            <w:tcW w:w="1928" w:type="dxa"/>
            <w:tcBorders>
              <w:top w:val="single" w:color="auto" w:sz="2" w:space="0"/>
              <w:left w:val="single" w:color="auto" w:sz="2" w:space="0"/>
              <w:bottom w:val="single" w:color="auto" w:sz="2" w:space="0"/>
              <w:right w:val="single" w:color="auto" w:sz="2" w:space="0"/>
            </w:tcBorders>
            <w:vAlign w:val="center"/>
          </w:tcPr>
          <w:p w14:paraId="2E5519BE">
            <w:pPr>
              <w:spacing w:before="0" w:after="0" w:line="240" w:lineRule="exact"/>
              <w:jc w:val="right"/>
              <w:rPr>
                <w:rFonts w:ascii="宋体" w:hAnsi="宋体" w:eastAsia="宋体" w:cs="宋体"/>
                <w:color w:val="auto"/>
                <w:sz w:val="18"/>
                <w:szCs w:val="18"/>
              </w:rPr>
            </w:pPr>
          </w:p>
        </w:tc>
      </w:tr>
      <w:tr w14:paraId="00E6F9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63FCAC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5、工会经费和职工教育经费</w:t>
            </w:r>
          </w:p>
        </w:tc>
        <w:tc>
          <w:tcPr>
            <w:tcW w:w="1928" w:type="dxa"/>
            <w:tcBorders>
              <w:top w:val="single" w:color="auto" w:sz="2" w:space="0"/>
              <w:left w:val="single" w:color="auto" w:sz="2" w:space="0"/>
              <w:bottom w:val="single" w:color="auto" w:sz="2" w:space="0"/>
              <w:right w:val="single" w:color="auto" w:sz="2" w:space="0"/>
            </w:tcBorders>
            <w:vAlign w:val="center"/>
          </w:tcPr>
          <w:p w14:paraId="66CB94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193,998.81</w:t>
            </w:r>
          </w:p>
        </w:tc>
        <w:tc>
          <w:tcPr>
            <w:tcW w:w="1928" w:type="dxa"/>
            <w:tcBorders>
              <w:top w:val="single" w:color="auto" w:sz="2" w:space="0"/>
              <w:left w:val="single" w:color="auto" w:sz="2" w:space="0"/>
              <w:bottom w:val="single" w:color="auto" w:sz="2" w:space="0"/>
              <w:right w:val="single" w:color="auto" w:sz="2" w:space="0"/>
            </w:tcBorders>
            <w:vAlign w:val="center"/>
          </w:tcPr>
          <w:p w14:paraId="0DBC98D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506,275.24</w:t>
            </w:r>
          </w:p>
        </w:tc>
        <w:tc>
          <w:tcPr>
            <w:tcW w:w="1928" w:type="dxa"/>
            <w:tcBorders>
              <w:top w:val="single" w:color="auto" w:sz="2" w:space="0"/>
              <w:left w:val="single" w:color="auto" w:sz="2" w:space="0"/>
              <w:bottom w:val="single" w:color="auto" w:sz="2" w:space="0"/>
              <w:right w:val="single" w:color="auto" w:sz="2" w:space="0"/>
            </w:tcBorders>
            <w:vAlign w:val="center"/>
          </w:tcPr>
          <w:p w14:paraId="2AD2BA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537,558.00</w:t>
            </w:r>
          </w:p>
        </w:tc>
        <w:tc>
          <w:tcPr>
            <w:tcW w:w="1928" w:type="dxa"/>
            <w:tcBorders>
              <w:top w:val="single" w:color="auto" w:sz="2" w:space="0"/>
              <w:left w:val="single" w:color="auto" w:sz="2" w:space="0"/>
              <w:bottom w:val="single" w:color="auto" w:sz="2" w:space="0"/>
              <w:right w:val="single" w:color="auto" w:sz="2" w:space="0"/>
            </w:tcBorders>
            <w:vAlign w:val="center"/>
          </w:tcPr>
          <w:p w14:paraId="0FE493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162,716.05</w:t>
            </w:r>
          </w:p>
        </w:tc>
      </w:tr>
      <w:tr w14:paraId="018D73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DAE37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710B20D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11,617,308.83</w:t>
            </w:r>
          </w:p>
        </w:tc>
        <w:tc>
          <w:tcPr>
            <w:tcW w:w="1928" w:type="dxa"/>
            <w:tcBorders>
              <w:top w:val="single" w:color="auto" w:sz="2" w:space="0"/>
              <w:left w:val="single" w:color="auto" w:sz="2" w:space="0"/>
              <w:bottom w:val="single" w:color="auto" w:sz="2" w:space="0"/>
              <w:right w:val="single" w:color="auto" w:sz="2" w:space="0"/>
            </w:tcBorders>
            <w:vAlign w:val="center"/>
          </w:tcPr>
          <w:p w14:paraId="770EF2B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67,909,590.73</w:t>
            </w:r>
          </w:p>
        </w:tc>
        <w:tc>
          <w:tcPr>
            <w:tcW w:w="1928" w:type="dxa"/>
            <w:tcBorders>
              <w:top w:val="single" w:color="auto" w:sz="2" w:space="0"/>
              <w:left w:val="single" w:color="auto" w:sz="2" w:space="0"/>
              <w:bottom w:val="single" w:color="auto" w:sz="2" w:space="0"/>
              <w:right w:val="single" w:color="auto" w:sz="2" w:space="0"/>
            </w:tcBorders>
            <w:vAlign w:val="center"/>
          </w:tcPr>
          <w:p w14:paraId="7D8B4A1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71,673,354.56</w:t>
            </w:r>
          </w:p>
        </w:tc>
        <w:tc>
          <w:tcPr>
            <w:tcW w:w="1928" w:type="dxa"/>
            <w:tcBorders>
              <w:top w:val="single" w:color="auto" w:sz="2" w:space="0"/>
              <w:left w:val="single" w:color="auto" w:sz="2" w:space="0"/>
              <w:bottom w:val="single" w:color="auto" w:sz="2" w:space="0"/>
              <w:right w:val="single" w:color="auto" w:sz="2" w:space="0"/>
            </w:tcBorders>
            <w:vAlign w:val="center"/>
          </w:tcPr>
          <w:p w14:paraId="038E97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7,853,545.00</w:t>
            </w:r>
          </w:p>
        </w:tc>
      </w:tr>
    </w:tbl>
    <w:p w14:paraId="491EA86E">
      <w:pPr>
        <w:keepNext/>
        <w:keepLines/>
        <w:spacing w:before="300" w:after="300" w:line="280" w:lineRule="exact"/>
        <w:jc w:val="left"/>
        <w:outlineLvl w:val="3"/>
        <w:rPr>
          <w:rFonts w:ascii="宋体" w:hAnsi="宋体" w:eastAsia="宋体" w:cs="宋体"/>
          <w:b/>
          <w:bCs/>
          <w:color w:val="auto"/>
          <w:sz w:val="21"/>
          <w:szCs w:val="21"/>
        </w:rPr>
      </w:pPr>
      <w:bookmarkStart w:id="230" w:name="_Toc989206"/>
      <w:r>
        <w:rPr>
          <w:rFonts w:ascii="宋体" w:hAnsi="宋体" w:eastAsia="宋体" w:cs="宋体"/>
          <w:b/>
          <w:bCs/>
          <w:color w:val="auto"/>
          <w:sz w:val="21"/>
          <w:szCs w:val="21"/>
        </w:rPr>
        <w:t>（3）设定提存计划列示</w:t>
      </w:r>
      <w:bookmarkEnd w:id="230"/>
    </w:p>
    <w:p w14:paraId="505181A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094DD4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AD04DC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EB5DF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FD6D5E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CD95D5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6442E6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5B2C53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C89D1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1、基本养老保险</w:t>
            </w:r>
          </w:p>
        </w:tc>
        <w:tc>
          <w:tcPr>
            <w:tcW w:w="1928" w:type="dxa"/>
            <w:tcBorders>
              <w:top w:val="single" w:color="auto" w:sz="2" w:space="0"/>
              <w:left w:val="single" w:color="auto" w:sz="2" w:space="0"/>
              <w:bottom w:val="single" w:color="auto" w:sz="2" w:space="0"/>
              <w:right w:val="single" w:color="auto" w:sz="2" w:space="0"/>
            </w:tcBorders>
            <w:vAlign w:val="center"/>
          </w:tcPr>
          <w:p w14:paraId="31BD8AF3">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D7F9E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4,046,015.20</w:t>
            </w:r>
          </w:p>
        </w:tc>
        <w:tc>
          <w:tcPr>
            <w:tcW w:w="1928" w:type="dxa"/>
            <w:tcBorders>
              <w:top w:val="single" w:color="auto" w:sz="2" w:space="0"/>
              <w:left w:val="single" w:color="auto" w:sz="2" w:space="0"/>
              <w:bottom w:val="single" w:color="auto" w:sz="2" w:space="0"/>
              <w:right w:val="single" w:color="auto" w:sz="2" w:space="0"/>
            </w:tcBorders>
            <w:vAlign w:val="center"/>
          </w:tcPr>
          <w:p w14:paraId="0B880D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4,046,015.20</w:t>
            </w:r>
          </w:p>
        </w:tc>
        <w:tc>
          <w:tcPr>
            <w:tcW w:w="1928" w:type="dxa"/>
            <w:tcBorders>
              <w:top w:val="single" w:color="auto" w:sz="2" w:space="0"/>
              <w:left w:val="single" w:color="auto" w:sz="2" w:space="0"/>
              <w:bottom w:val="single" w:color="auto" w:sz="2" w:space="0"/>
              <w:right w:val="single" w:color="auto" w:sz="2" w:space="0"/>
            </w:tcBorders>
            <w:vAlign w:val="center"/>
          </w:tcPr>
          <w:p w14:paraId="621C20B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6EC8A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56B465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2、失业保险费</w:t>
            </w:r>
          </w:p>
        </w:tc>
        <w:tc>
          <w:tcPr>
            <w:tcW w:w="1928" w:type="dxa"/>
            <w:tcBorders>
              <w:top w:val="single" w:color="auto" w:sz="2" w:space="0"/>
              <w:left w:val="single" w:color="auto" w:sz="2" w:space="0"/>
              <w:bottom w:val="single" w:color="auto" w:sz="2" w:space="0"/>
              <w:right w:val="single" w:color="auto" w:sz="2" w:space="0"/>
            </w:tcBorders>
            <w:vAlign w:val="center"/>
          </w:tcPr>
          <w:p w14:paraId="52417318">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38F63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88,673.16</w:t>
            </w:r>
          </w:p>
        </w:tc>
        <w:tc>
          <w:tcPr>
            <w:tcW w:w="1928" w:type="dxa"/>
            <w:tcBorders>
              <w:top w:val="single" w:color="auto" w:sz="2" w:space="0"/>
              <w:left w:val="single" w:color="auto" w:sz="2" w:space="0"/>
              <w:bottom w:val="single" w:color="auto" w:sz="2" w:space="0"/>
              <w:right w:val="single" w:color="auto" w:sz="2" w:space="0"/>
            </w:tcBorders>
            <w:vAlign w:val="center"/>
          </w:tcPr>
          <w:p w14:paraId="70BBCAD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88,673.16</w:t>
            </w:r>
          </w:p>
        </w:tc>
        <w:tc>
          <w:tcPr>
            <w:tcW w:w="1928" w:type="dxa"/>
            <w:tcBorders>
              <w:top w:val="single" w:color="auto" w:sz="2" w:space="0"/>
              <w:left w:val="single" w:color="auto" w:sz="2" w:space="0"/>
              <w:bottom w:val="single" w:color="auto" w:sz="2" w:space="0"/>
              <w:right w:val="single" w:color="auto" w:sz="2" w:space="0"/>
            </w:tcBorders>
            <w:vAlign w:val="center"/>
          </w:tcPr>
          <w:p w14:paraId="66A153A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697A33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D5849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74E55BE7">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5F768D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4,134,688.36</w:t>
            </w:r>
          </w:p>
        </w:tc>
        <w:tc>
          <w:tcPr>
            <w:tcW w:w="1928" w:type="dxa"/>
            <w:tcBorders>
              <w:top w:val="single" w:color="auto" w:sz="2" w:space="0"/>
              <w:left w:val="single" w:color="auto" w:sz="2" w:space="0"/>
              <w:bottom w:val="single" w:color="auto" w:sz="2" w:space="0"/>
              <w:right w:val="single" w:color="auto" w:sz="2" w:space="0"/>
            </w:tcBorders>
            <w:vAlign w:val="center"/>
          </w:tcPr>
          <w:p w14:paraId="2F0E4D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4,134,688.36</w:t>
            </w:r>
          </w:p>
        </w:tc>
        <w:tc>
          <w:tcPr>
            <w:tcW w:w="1928" w:type="dxa"/>
            <w:tcBorders>
              <w:top w:val="single" w:color="auto" w:sz="2" w:space="0"/>
              <w:left w:val="single" w:color="auto" w:sz="2" w:space="0"/>
              <w:bottom w:val="single" w:color="auto" w:sz="2" w:space="0"/>
              <w:right w:val="single" w:color="auto" w:sz="2" w:space="0"/>
            </w:tcBorders>
            <w:vAlign w:val="center"/>
          </w:tcPr>
          <w:p w14:paraId="43A0542C">
            <w:pPr>
              <w:spacing w:before="0" w:after="0" w:line="240" w:lineRule="exact"/>
              <w:jc w:val="right"/>
              <w:rPr>
                <w:rFonts w:ascii="宋体" w:hAnsi="宋体" w:eastAsia="宋体" w:cs="宋体"/>
                <w:color w:val="auto"/>
                <w:sz w:val="18"/>
                <w:szCs w:val="18"/>
              </w:rPr>
            </w:pPr>
          </w:p>
        </w:tc>
      </w:tr>
    </w:tbl>
    <w:p w14:paraId="03551C9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31B4BEF7">
      <w:pPr>
        <w:keepNext/>
        <w:keepLines/>
        <w:spacing w:before="300" w:after="300" w:line="280" w:lineRule="exact"/>
        <w:jc w:val="left"/>
        <w:outlineLvl w:val="2"/>
        <w:rPr>
          <w:rFonts w:ascii="宋体" w:hAnsi="宋体" w:eastAsia="宋体" w:cs="宋体"/>
          <w:b/>
          <w:bCs/>
          <w:color w:val="auto"/>
          <w:sz w:val="21"/>
          <w:szCs w:val="21"/>
        </w:rPr>
      </w:pPr>
      <w:bookmarkStart w:id="231" w:name="_Toc989207"/>
      <w:r>
        <w:rPr>
          <w:rFonts w:ascii="宋体" w:hAnsi="宋体" w:eastAsia="宋体" w:cs="宋体"/>
          <w:b/>
          <w:bCs/>
          <w:color w:val="auto"/>
          <w:sz w:val="21"/>
          <w:szCs w:val="21"/>
        </w:rPr>
        <w:t>41、应交税费</w:t>
      </w:r>
      <w:bookmarkEnd w:id="231"/>
    </w:p>
    <w:p w14:paraId="58511320">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DF9AE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0399D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822C4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D2C47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53AB55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F6AE36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增值税</w:t>
            </w:r>
          </w:p>
        </w:tc>
        <w:tc>
          <w:tcPr>
            <w:tcW w:w="3213" w:type="dxa"/>
            <w:tcBorders>
              <w:top w:val="single" w:color="auto" w:sz="2" w:space="0"/>
              <w:left w:val="single" w:color="auto" w:sz="2" w:space="0"/>
              <w:bottom w:val="single" w:color="auto" w:sz="2" w:space="0"/>
              <w:right w:val="single" w:color="auto" w:sz="2" w:space="0"/>
            </w:tcBorders>
            <w:vAlign w:val="center"/>
          </w:tcPr>
          <w:p w14:paraId="19FB2B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3,835,717.40</w:t>
            </w:r>
          </w:p>
        </w:tc>
        <w:tc>
          <w:tcPr>
            <w:tcW w:w="3213" w:type="dxa"/>
            <w:tcBorders>
              <w:top w:val="single" w:color="auto" w:sz="2" w:space="0"/>
              <w:left w:val="single" w:color="auto" w:sz="2" w:space="0"/>
              <w:bottom w:val="single" w:color="auto" w:sz="2" w:space="0"/>
              <w:right w:val="single" w:color="auto" w:sz="2" w:space="0"/>
            </w:tcBorders>
            <w:vAlign w:val="center"/>
          </w:tcPr>
          <w:p w14:paraId="7D1206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3,125,990.15</w:t>
            </w:r>
          </w:p>
        </w:tc>
      </w:tr>
      <w:tr w14:paraId="02B1F4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FC96C7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企业所得税</w:t>
            </w:r>
          </w:p>
        </w:tc>
        <w:tc>
          <w:tcPr>
            <w:tcW w:w="3213" w:type="dxa"/>
            <w:tcBorders>
              <w:top w:val="single" w:color="auto" w:sz="2" w:space="0"/>
              <w:left w:val="single" w:color="auto" w:sz="2" w:space="0"/>
              <w:bottom w:val="single" w:color="auto" w:sz="2" w:space="0"/>
              <w:right w:val="single" w:color="auto" w:sz="2" w:space="0"/>
            </w:tcBorders>
            <w:vAlign w:val="center"/>
          </w:tcPr>
          <w:p w14:paraId="353E09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3,154,793.20</w:t>
            </w:r>
          </w:p>
        </w:tc>
        <w:tc>
          <w:tcPr>
            <w:tcW w:w="3213" w:type="dxa"/>
            <w:tcBorders>
              <w:top w:val="single" w:color="auto" w:sz="2" w:space="0"/>
              <w:left w:val="single" w:color="auto" w:sz="2" w:space="0"/>
              <w:bottom w:val="single" w:color="auto" w:sz="2" w:space="0"/>
              <w:right w:val="single" w:color="auto" w:sz="2" w:space="0"/>
            </w:tcBorders>
            <w:vAlign w:val="center"/>
          </w:tcPr>
          <w:p w14:paraId="293E08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2,913,364.07</w:t>
            </w:r>
          </w:p>
        </w:tc>
      </w:tr>
      <w:tr w14:paraId="7B8B16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F984C9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个人所得税</w:t>
            </w:r>
          </w:p>
        </w:tc>
        <w:tc>
          <w:tcPr>
            <w:tcW w:w="3213" w:type="dxa"/>
            <w:tcBorders>
              <w:top w:val="single" w:color="auto" w:sz="2" w:space="0"/>
              <w:left w:val="single" w:color="auto" w:sz="2" w:space="0"/>
              <w:bottom w:val="single" w:color="auto" w:sz="2" w:space="0"/>
              <w:right w:val="single" w:color="auto" w:sz="2" w:space="0"/>
            </w:tcBorders>
            <w:vAlign w:val="center"/>
          </w:tcPr>
          <w:p w14:paraId="75F927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445,978.95</w:t>
            </w:r>
          </w:p>
        </w:tc>
        <w:tc>
          <w:tcPr>
            <w:tcW w:w="3213" w:type="dxa"/>
            <w:tcBorders>
              <w:top w:val="single" w:color="auto" w:sz="2" w:space="0"/>
              <w:left w:val="single" w:color="auto" w:sz="2" w:space="0"/>
              <w:bottom w:val="single" w:color="auto" w:sz="2" w:space="0"/>
              <w:right w:val="single" w:color="auto" w:sz="2" w:space="0"/>
            </w:tcBorders>
            <w:vAlign w:val="center"/>
          </w:tcPr>
          <w:p w14:paraId="43E8E76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832,489.91</w:t>
            </w:r>
          </w:p>
        </w:tc>
      </w:tr>
      <w:tr w14:paraId="2F158A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94FCF5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66F5D05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257,846.46</w:t>
            </w:r>
          </w:p>
        </w:tc>
        <w:tc>
          <w:tcPr>
            <w:tcW w:w="3213" w:type="dxa"/>
            <w:tcBorders>
              <w:top w:val="single" w:color="auto" w:sz="2" w:space="0"/>
              <w:left w:val="single" w:color="auto" w:sz="2" w:space="0"/>
              <w:bottom w:val="single" w:color="auto" w:sz="2" w:space="0"/>
              <w:right w:val="single" w:color="auto" w:sz="2" w:space="0"/>
            </w:tcBorders>
            <w:vAlign w:val="center"/>
          </w:tcPr>
          <w:p w14:paraId="1753160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139,406.86</w:t>
            </w:r>
          </w:p>
        </w:tc>
      </w:tr>
      <w:tr w14:paraId="7541CD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8D6835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51E0C3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224,822.27</w:t>
            </w:r>
          </w:p>
        </w:tc>
        <w:tc>
          <w:tcPr>
            <w:tcW w:w="3213" w:type="dxa"/>
            <w:tcBorders>
              <w:top w:val="single" w:color="auto" w:sz="2" w:space="0"/>
              <w:left w:val="single" w:color="auto" w:sz="2" w:space="0"/>
              <w:bottom w:val="single" w:color="auto" w:sz="2" w:space="0"/>
              <w:right w:val="single" w:color="auto" w:sz="2" w:space="0"/>
            </w:tcBorders>
            <w:vAlign w:val="center"/>
          </w:tcPr>
          <w:p w14:paraId="500A61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160,308.03</w:t>
            </w:r>
          </w:p>
        </w:tc>
      </w:tr>
      <w:tr w14:paraId="50DF5C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E3A615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印花税</w:t>
            </w:r>
          </w:p>
        </w:tc>
        <w:tc>
          <w:tcPr>
            <w:tcW w:w="3213" w:type="dxa"/>
            <w:tcBorders>
              <w:top w:val="single" w:color="auto" w:sz="2" w:space="0"/>
              <w:left w:val="single" w:color="auto" w:sz="2" w:space="0"/>
              <w:bottom w:val="single" w:color="auto" w:sz="2" w:space="0"/>
              <w:right w:val="single" w:color="auto" w:sz="2" w:space="0"/>
            </w:tcBorders>
            <w:vAlign w:val="center"/>
          </w:tcPr>
          <w:p w14:paraId="4220E44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66,573.19</w:t>
            </w:r>
          </w:p>
        </w:tc>
        <w:tc>
          <w:tcPr>
            <w:tcW w:w="3213" w:type="dxa"/>
            <w:tcBorders>
              <w:top w:val="single" w:color="auto" w:sz="2" w:space="0"/>
              <w:left w:val="single" w:color="auto" w:sz="2" w:space="0"/>
              <w:bottom w:val="single" w:color="auto" w:sz="2" w:space="0"/>
              <w:right w:val="single" w:color="auto" w:sz="2" w:space="0"/>
            </w:tcBorders>
            <w:vAlign w:val="center"/>
          </w:tcPr>
          <w:p w14:paraId="0E50355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49,225.16</w:t>
            </w:r>
          </w:p>
        </w:tc>
      </w:tr>
      <w:tr w14:paraId="783256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0C0547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房产税</w:t>
            </w:r>
          </w:p>
        </w:tc>
        <w:tc>
          <w:tcPr>
            <w:tcW w:w="3213" w:type="dxa"/>
            <w:tcBorders>
              <w:top w:val="single" w:color="auto" w:sz="2" w:space="0"/>
              <w:left w:val="single" w:color="auto" w:sz="2" w:space="0"/>
              <w:bottom w:val="single" w:color="auto" w:sz="2" w:space="0"/>
              <w:right w:val="single" w:color="auto" w:sz="2" w:space="0"/>
            </w:tcBorders>
            <w:vAlign w:val="center"/>
          </w:tcPr>
          <w:p w14:paraId="58F723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1,156,252.88</w:t>
            </w:r>
          </w:p>
        </w:tc>
        <w:tc>
          <w:tcPr>
            <w:tcW w:w="3213" w:type="dxa"/>
            <w:tcBorders>
              <w:top w:val="single" w:color="auto" w:sz="2" w:space="0"/>
              <w:left w:val="single" w:color="auto" w:sz="2" w:space="0"/>
              <w:bottom w:val="single" w:color="auto" w:sz="2" w:space="0"/>
              <w:right w:val="single" w:color="auto" w:sz="2" w:space="0"/>
            </w:tcBorders>
            <w:vAlign w:val="center"/>
          </w:tcPr>
          <w:p w14:paraId="597CA8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1,177,209.14</w:t>
            </w:r>
          </w:p>
        </w:tc>
      </w:tr>
      <w:tr w14:paraId="00E20B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F98503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土地使用税</w:t>
            </w:r>
          </w:p>
        </w:tc>
        <w:tc>
          <w:tcPr>
            <w:tcW w:w="3213" w:type="dxa"/>
            <w:tcBorders>
              <w:top w:val="single" w:color="auto" w:sz="2" w:space="0"/>
              <w:left w:val="single" w:color="auto" w:sz="2" w:space="0"/>
              <w:bottom w:val="single" w:color="auto" w:sz="2" w:space="0"/>
              <w:right w:val="single" w:color="auto" w:sz="2" w:space="0"/>
            </w:tcBorders>
            <w:vAlign w:val="center"/>
          </w:tcPr>
          <w:p w14:paraId="0E84FE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249,312.41</w:t>
            </w:r>
          </w:p>
        </w:tc>
        <w:tc>
          <w:tcPr>
            <w:tcW w:w="3213" w:type="dxa"/>
            <w:tcBorders>
              <w:top w:val="single" w:color="auto" w:sz="2" w:space="0"/>
              <w:left w:val="single" w:color="auto" w:sz="2" w:space="0"/>
              <w:bottom w:val="single" w:color="auto" w:sz="2" w:space="0"/>
              <w:right w:val="single" w:color="auto" w:sz="2" w:space="0"/>
            </w:tcBorders>
            <w:vAlign w:val="center"/>
          </w:tcPr>
          <w:p w14:paraId="1A2770F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249,312.40</w:t>
            </w:r>
          </w:p>
        </w:tc>
      </w:tr>
      <w:tr w14:paraId="0EB3BF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826D56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环境保护税</w:t>
            </w:r>
          </w:p>
        </w:tc>
        <w:tc>
          <w:tcPr>
            <w:tcW w:w="3213" w:type="dxa"/>
            <w:tcBorders>
              <w:top w:val="single" w:color="auto" w:sz="2" w:space="0"/>
              <w:left w:val="single" w:color="auto" w:sz="2" w:space="0"/>
              <w:bottom w:val="single" w:color="auto" w:sz="2" w:space="0"/>
              <w:right w:val="single" w:color="auto" w:sz="2" w:space="0"/>
            </w:tcBorders>
            <w:vAlign w:val="center"/>
          </w:tcPr>
          <w:p w14:paraId="41CF953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3,835.23</w:t>
            </w:r>
          </w:p>
        </w:tc>
        <w:tc>
          <w:tcPr>
            <w:tcW w:w="3213" w:type="dxa"/>
            <w:tcBorders>
              <w:top w:val="single" w:color="auto" w:sz="2" w:space="0"/>
              <w:left w:val="single" w:color="auto" w:sz="2" w:space="0"/>
              <w:bottom w:val="single" w:color="auto" w:sz="2" w:space="0"/>
              <w:right w:val="single" w:color="auto" w:sz="2" w:space="0"/>
            </w:tcBorders>
            <w:vAlign w:val="center"/>
          </w:tcPr>
          <w:p w14:paraId="419FA95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2,281.05</w:t>
            </w:r>
          </w:p>
        </w:tc>
      </w:tr>
      <w:tr w14:paraId="12E6B1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2E237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0A1E9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9,395,131.99</w:t>
            </w:r>
          </w:p>
        </w:tc>
        <w:tc>
          <w:tcPr>
            <w:tcW w:w="3213" w:type="dxa"/>
            <w:tcBorders>
              <w:top w:val="single" w:color="auto" w:sz="2" w:space="0"/>
              <w:left w:val="single" w:color="auto" w:sz="2" w:space="0"/>
              <w:bottom w:val="single" w:color="auto" w:sz="2" w:space="0"/>
              <w:right w:val="single" w:color="auto" w:sz="2" w:space="0"/>
            </w:tcBorders>
            <w:vAlign w:val="center"/>
          </w:tcPr>
          <w:p w14:paraId="7B72C98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8,649,586.77</w:t>
            </w:r>
          </w:p>
        </w:tc>
      </w:tr>
    </w:tbl>
    <w:p w14:paraId="7B79100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9640EA6">
      <w:pPr>
        <w:keepNext/>
        <w:keepLines/>
        <w:spacing w:before="300" w:after="300" w:line="280" w:lineRule="exact"/>
        <w:jc w:val="left"/>
        <w:outlineLvl w:val="2"/>
        <w:rPr>
          <w:rFonts w:ascii="宋体" w:hAnsi="宋体" w:eastAsia="宋体" w:cs="宋体"/>
          <w:b/>
          <w:bCs/>
          <w:color w:val="auto"/>
          <w:sz w:val="21"/>
          <w:szCs w:val="21"/>
        </w:rPr>
      </w:pPr>
      <w:bookmarkStart w:id="232" w:name="_Toc989208"/>
      <w:r>
        <w:rPr>
          <w:rFonts w:ascii="宋体" w:hAnsi="宋体" w:eastAsia="宋体" w:cs="宋体"/>
          <w:b/>
          <w:bCs/>
          <w:color w:val="auto"/>
          <w:sz w:val="21"/>
          <w:szCs w:val="21"/>
        </w:rPr>
        <w:t>42、持有待售负债</w:t>
      </w:r>
      <w:bookmarkEnd w:id="232"/>
    </w:p>
    <w:p w14:paraId="479D291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3DF1D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9172A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49EB0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4AD3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674B6A1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D8974C3">
      <w:pPr>
        <w:keepNext/>
        <w:keepLines/>
        <w:spacing w:before="300" w:after="300" w:line="280" w:lineRule="exact"/>
        <w:jc w:val="left"/>
        <w:outlineLvl w:val="2"/>
        <w:rPr>
          <w:rFonts w:ascii="宋体" w:hAnsi="宋体" w:eastAsia="宋体" w:cs="宋体"/>
          <w:b/>
          <w:bCs/>
          <w:color w:val="auto"/>
          <w:sz w:val="21"/>
          <w:szCs w:val="21"/>
        </w:rPr>
      </w:pPr>
      <w:bookmarkStart w:id="233" w:name="_Toc989209"/>
      <w:r>
        <w:rPr>
          <w:rFonts w:ascii="宋体" w:hAnsi="宋体" w:eastAsia="宋体" w:cs="宋体"/>
          <w:b/>
          <w:bCs/>
          <w:color w:val="auto"/>
          <w:sz w:val="21"/>
          <w:szCs w:val="21"/>
        </w:rPr>
        <w:t>43、一年内到期的非流动负债</w:t>
      </w:r>
      <w:bookmarkEnd w:id="233"/>
    </w:p>
    <w:p w14:paraId="5C04EE90">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38CE8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F1FE8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8C43F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82249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06FA68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73799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一年内到期的长期借款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4D081BD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130,987,669.67</w:t>
            </w:r>
          </w:p>
        </w:tc>
        <w:tc>
          <w:tcPr>
            <w:tcW w:w="3213" w:type="dxa"/>
            <w:tcBorders>
              <w:top w:val="single" w:color="auto" w:sz="2" w:space="0"/>
              <w:left w:val="single" w:color="auto" w:sz="2" w:space="0"/>
              <w:bottom w:val="single" w:color="auto" w:sz="2" w:space="0"/>
              <w:right w:val="single" w:color="auto" w:sz="2" w:space="0"/>
            </w:tcBorders>
            <w:vAlign w:val="center"/>
          </w:tcPr>
          <w:p w14:paraId="768431F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117,922,112.91</w:t>
            </w:r>
          </w:p>
        </w:tc>
      </w:tr>
      <w:tr w14:paraId="753795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2772A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一年内到期的租赁负债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51CCC94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59B90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95,242.87</w:t>
            </w:r>
          </w:p>
        </w:tc>
      </w:tr>
      <w:tr w14:paraId="7CDC2F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B0CE2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BFEAF7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130,987,669.67</w:t>
            </w:r>
          </w:p>
        </w:tc>
        <w:tc>
          <w:tcPr>
            <w:tcW w:w="3213" w:type="dxa"/>
            <w:tcBorders>
              <w:top w:val="single" w:color="auto" w:sz="2" w:space="0"/>
              <w:left w:val="single" w:color="auto" w:sz="2" w:space="0"/>
              <w:bottom w:val="single" w:color="auto" w:sz="2" w:space="0"/>
              <w:right w:val="single" w:color="auto" w:sz="2" w:space="0"/>
            </w:tcBorders>
            <w:vAlign w:val="center"/>
          </w:tcPr>
          <w:p w14:paraId="6F2AE6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118,017,355.78</w:t>
            </w:r>
          </w:p>
        </w:tc>
      </w:tr>
    </w:tbl>
    <w:p w14:paraId="74683B1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B955DF0">
      <w:pPr>
        <w:keepNext/>
        <w:keepLines/>
        <w:spacing w:before="300" w:after="300" w:line="280" w:lineRule="exact"/>
        <w:jc w:val="left"/>
        <w:outlineLvl w:val="2"/>
        <w:rPr>
          <w:rFonts w:ascii="宋体" w:hAnsi="宋体" w:eastAsia="宋体" w:cs="宋体"/>
          <w:b/>
          <w:bCs/>
          <w:color w:val="auto"/>
          <w:sz w:val="21"/>
          <w:szCs w:val="21"/>
        </w:rPr>
      </w:pPr>
      <w:bookmarkStart w:id="234" w:name="_Toc989210"/>
      <w:r>
        <w:rPr>
          <w:rFonts w:ascii="宋体" w:hAnsi="宋体" w:eastAsia="宋体" w:cs="宋体"/>
          <w:b/>
          <w:bCs/>
          <w:color w:val="auto"/>
          <w:sz w:val="21"/>
          <w:szCs w:val="21"/>
        </w:rPr>
        <w:t>44、其他流动负债</w:t>
      </w:r>
      <w:bookmarkEnd w:id="234"/>
    </w:p>
    <w:p w14:paraId="4C93AAC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30670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7A651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A4A08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65DF2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152AB4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C18298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预收货款中增值税部分金额</w:t>
            </w:r>
          </w:p>
        </w:tc>
        <w:tc>
          <w:tcPr>
            <w:tcW w:w="3213" w:type="dxa"/>
            <w:tcBorders>
              <w:top w:val="single" w:color="auto" w:sz="2" w:space="0"/>
              <w:left w:val="single" w:color="auto" w:sz="2" w:space="0"/>
              <w:bottom w:val="single" w:color="auto" w:sz="2" w:space="0"/>
              <w:right w:val="single" w:color="auto" w:sz="2" w:space="0"/>
            </w:tcBorders>
            <w:vAlign w:val="center"/>
          </w:tcPr>
          <w:p w14:paraId="78624BC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477,399.48</w:t>
            </w:r>
          </w:p>
        </w:tc>
        <w:tc>
          <w:tcPr>
            <w:tcW w:w="3213" w:type="dxa"/>
            <w:tcBorders>
              <w:top w:val="single" w:color="auto" w:sz="2" w:space="0"/>
              <w:left w:val="single" w:color="auto" w:sz="2" w:space="0"/>
              <w:bottom w:val="single" w:color="auto" w:sz="2" w:space="0"/>
              <w:right w:val="single" w:color="auto" w:sz="2" w:space="0"/>
            </w:tcBorders>
            <w:vAlign w:val="center"/>
          </w:tcPr>
          <w:p w14:paraId="25C056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326,543.03</w:t>
            </w:r>
          </w:p>
        </w:tc>
      </w:tr>
      <w:tr w14:paraId="4723A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ADCE2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9B11CA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477,399.48</w:t>
            </w:r>
          </w:p>
        </w:tc>
        <w:tc>
          <w:tcPr>
            <w:tcW w:w="3213" w:type="dxa"/>
            <w:tcBorders>
              <w:top w:val="single" w:color="auto" w:sz="2" w:space="0"/>
              <w:left w:val="single" w:color="auto" w:sz="2" w:space="0"/>
              <w:bottom w:val="single" w:color="auto" w:sz="2" w:space="0"/>
              <w:right w:val="single" w:color="auto" w:sz="2" w:space="0"/>
            </w:tcBorders>
            <w:vAlign w:val="center"/>
          </w:tcPr>
          <w:p w14:paraId="4E4037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326,543.03</w:t>
            </w:r>
          </w:p>
        </w:tc>
      </w:tr>
    </w:tbl>
    <w:p w14:paraId="720F38C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短期应付债券的增减变动：</w:t>
      </w:r>
    </w:p>
    <w:p w14:paraId="10828FC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89"/>
        <w:gridCol w:w="689"/>
        <w:gridCol w:w="689"/>
        <w:gridCol w:w="689"/>
        <w:gridCol w:w="689"/>
        <w:gridCol w:w="689"/>
        <w:gridCol w:w="689"/>
        <w:gridCol w:w="689"/>
        <w:gridCol w:w="689"/>
        <w:gridCol w:w="689"/>
        <w:gridCol w:w="689"/>
        <w:gridCol w:w="689"/>
        <w:gridCol w:w="689"/>
        <w:gridCol w:w="689"/>
      </w:tblGrid>
      <w:tr w14:paraId="46F645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E7EFA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债券名称</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18E158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面值</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4E7F241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票面利率</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09F5B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发行日期</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0A8DF1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债券期限</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AE387F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发行金额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3F8C10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9D8D1D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本期发行</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920FEA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按面值计提利息</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4CAB8E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溢折价摊销</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8703C0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本期偿还</w:t>
            </w:r>
          </w:p>
        </w:tc>
        <w:tc>
          <w:tcPr>
            <w:tcW w:w="689" w:type="dxa"/>
            <w:tcBorders>
              <w:top w:val="single" w:color="auto" w:sz="2" w:space="0"/>
              <w:left w:val="single" w:color="auto" w:sz="2" w:space="0"/>
              <w:bottom w:val="single" w:color="auto" w:sz="2" w:space="0"/>
              <w:right w:val="single" w:color="auto" w:sz="2" w:space="0"/>
            </w:tcBorders>
            <w:vAlign w:val="center"/>
          </w:tcPr>
          <w:p w14:paraId="26A5F051">
            <w:pPr>
              <w:spacing w:before="0" w:after="0" w:line="240" w:lineRule="exact"/>
              <w:jc w:val="center"/>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060F25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919659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是否违约</w:t>
            </w:r>
          </w:p>
        </w:tc>
      </w:tr>
      <w:tr w14:paraId="4E7A2F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vAlign w:val="center"/>
          </w:tcPr>
          <w:p w14:paraId="76473C93">
            <w:pPr>
              <w:spacing w:before="0" w:after="0" w:line="240" w:lineRule="exact"/>
              <w:jc w:val="lef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F78E3DF">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26B2E5A">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D9C566D">
            <w:pPr>
              <w:spacing w:before="0" w:after="0" w:line="240" w:lineRule="exact"/>
              <w:jc w:val="lef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1243B48">
            <w:pPr>
              <w:spacing w:before="0" w:after="0" w:line="240" w:lineRule="exact"/>
              <w:jc w:val="lef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9EDD37B">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C878838">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AE9619D">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9CAE99E">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01E39CA">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30DE93D">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E4FD455">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75511273">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B9DB7F3">
            <w:pPr>
              <w:spacing w:before="0" w:after="0" w:line="240" w:lineRule="exact"/>
              <w:jc w:val="left"/>
              <w:rPr>
                <w:rFonts w:ascii="宋体" w:hAnsi="宋体" w:eastAsia="宋体" w:cs="宋体"/>
                <w:color w:val="auto"/>
                <w:sz w:val="18"/>
                <w:szCs w:val="18"/>
              </w:rPr>
            </w:pPr>
          </w:p>
        </w:tc>
      </w:tr>
      <w:tr w14:paraId="2BDC59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25CE1AB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CF6B343">
            <w:pPr>
              <w:rPr>
                <w:color w:val="auto"/>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492DD00">
            <w:pPr>
              <w:rPr>
                <w:color w:val="auto"/>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DAA393A">
            <w:pPr>
              <w:rPr>
                <w:color w:val="auto"/>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E330921">
            <w:pPr>
              <w:rPr>
                <w:color w:val="auto"/>
              </w:rPr>
            </w:pPr>
          </w:p>
        </w:tc>
        <w:tc>
          <w:tcPr>
            <w:tcW w:w="689" w:type="dxa"/>
            <w:tcBorders>
              <w:top w:val="single" w:color="auto" w:sz="2" w:space="0"/>
              <w:left w:val="single" w:color="auto" w:sz="2" w:space="0"/>
              <w:bottom w:val="single" w:color="auto" w:sz="2" w:space="0"/>
              <w:right w:val="single" w:color="auto" w:sz="2" w:space="0"/>
            </w:tcBorders>
            <w:vAlign w:val="center"/>
          </w:tcPr>
          <w:p w14:paraId="7B71307D">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C32ACC7">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CE53520">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766DD6CC">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143DF6E">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2B6AB7A">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59A3141">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D31FF97">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F6E7FB5">
            <w:pPr>
              <w:rPr>
                <w:color w:val="auto"/>
              </w:rPr>
            </w:pPr>
          </w:p>
        </w:tc>
      </w:tr>
    </w:tbl>
    <w:p w14:paraId="68371AA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CE3E541">
      <w:pPr>
        <w:keepNext/>
        <w:keepLines/>
        <w:spacing w:before="300" w:after="300" w:line="280" w:lineRule="exact"/>
        <w:jc w:val="left"/>
        <w:outlineLvl w:val="2"/>
        <w:rPr>
          <w:rFonts w:ascii="宋体" w:hAnsi="宋体" w:eastAsia="宋体" w:cs="宋体"/>
          <w:b/>
          <w:bCs/>
          <w:color w:val="auto"/>
          <w:sz w:val="21"/>
          <w:szCs w:val="21"/>
        </w:rPr>
      </w:pPr>
      <w:bookmarkStart w:id="235" w:name="_Toc989211"/>
      <w:r>
        <w:rPr>
          <w:rFonts w:ascii="宋体" w:hAnsi="宋体" w:eastAsia="宋体" w:cs="宋体"/>
          <w:b/>
          <w:bCs/>
          <w:color w:val="auto"/>
          <w:sz w:val="21"/>
          <w:szCs w:val="21"/>
        </w:rPr>
        <w:t>45、长期借款</w:t>
      </w:r>
      <w:bookmarkEnd w:id="235"/>
    </w:p>
    <w:p w14:paraId="5A4E699C">
      <w:pPr>
        <w:keepNext/>
        <w:keepLines/>
        <w:spacing w:before="300" w:after="300" w:line="280" w:lineRule="exact"/>
        <w:jc w:val="left"/>
        <w:outlineLvl w:val="3"/>
        <w:rPr>
          <w:rFonts w:ascii="宋体" w:hAnsi="宋体" w:eastAsia="宋体" w:cs="宋体"/>
          <w:b/>
          <w:bCs/>
          <w:color w:val="auto"/>
          <w:sz w:val="18"/>
          <w:szCs w:val="18"/>
        </w:rPr>
      </w:pPr>
      <w:bookmarkStart w:id="236" w:name="_Toc989212"/>
      <w:r>
        <w:rPr>
          <w:rFonts w:ascii="宋体" w:hAnsi="宋体" w:eastAsia="宋体" w:cs="宋体"/>
          <w:b/>
          <w:bCs/>
          <w:color w:val="auto"/>
          <w:sz w:val="18"/>
          <w:szCs w:val="18"/>
        </w:rPr>
        <w:t>（1）长期借款分类</w:t>
      </w:r>
      <w:bookmarkEnd w:id="236"/>
    </w:p>
    <w:p w14:paraId="15DB6DD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C31A3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A3151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A5799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F4A55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61642C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F218AF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抵押、保证借款</w:t>
            </w:r>
          </w:p>
        </w:tc>
        <w:tc>
          <w:tcPr>
            <w:tcW w:w="3213" w:type="dxa"/>
            <w:tcBorders>
              <w:top w:val="single" w:color="auto" w:sz="2" w:space="0"/>
              <w:left w:val="single" w:color="auto" w:sz="2" w:space="0"/>
              <w:bottom w:val="single" w:color="auto" w:sz="2" w:space="0"/>
              <w:right w:val="single" w:color="auto" w:sz="2" w:space="0"/>
            </w:tcBorders>
            <w:vAlign w:val="center"/>
          </w:tcPr>
          <w:p w14:paraId="704991D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267,792,600.00</w:t>
            </w:r>
          </w:p>
        </w:tc>
        <w:tc>
          <w:tcPr>
            <w:tcW w:w="3213" w:type="dxa"/>
            <w:tcBorders>
              <w:top w:val="single" w:color="auto" w:sz="2" w:space="0"/>
              <w:left w:val="single" w:color="auto" w:sz="2" w:space="0"/>
              <w:bottom w:val="single" w:color="auto" w:sz="2" w:space="0"/>
              <w:right w:val="single" w:color="auto" w:sz="2" w:space="0"/>
            </w:tcBorders>
            <w:vAlign w:val="center"/>
          </w:tcPr>
          <w:p w14:paraId="7D76B88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259,922,100.00</w:t>
            </w:r>
          </w:p>
        </w:tc>
      </w:tr>
      <w:tr w14:paraId="7F592D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D72339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质押、保证借款</w:t>
            </w:r>
          </w:p>
        </w:tc>
        <w:tc>
          <w:tcPr>
            <w:tcW w:w="3213" w:type="dxa"/>
            <w:tcBorders>
              <w:top w:val="single" w:color="auto" w:sz="2" w:space="0"/>
              <w:left w:val="single" w:color="auto" w:sz="2" w:space="0"/>
              <w:bottom w:val="single" w:color="auto" w:sz="2" w:space="0"/>
              <w:right w:val="single" w:color="auto" w:sz="2" w:space="0"/>
            </w:tcBorders>
            <w:vAlign w:val="center"/>
          </w:tcPr>
          <w:p w14:paraId="05C02D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3213" w:type="dxa"/>
            <w:tcBorders>
              <w:top w:val="single" w:color="auto" w:sz="2" w:space="0"/>
              <w:left w:val="single" w:color="auto" w:sz="2" w:space="0"/>
              <w:bottom w:val="single" w:color="auto" w:sz="2" w:space="0"/>
              <w:right w:val="single" w:color="auto" w:sz="2" w:space="0"/>
            </w:tcBorders>
            <w:vAlign w:val="center"/>
          </w:tcPr>
          <w:p w14:paraId="79FFF76D">
            <w:pPr>
              <w:spacing w:before="0" w:after="0" w:line="240" w:lineRule="exact"/>
              <w:jc w:val="right"/>
              <w:rPr>
                <w:rFonts w:ascii="宋体" w:hAnsi="宋体" w:eastAsia="宋体" w:cs="宋体"/>
                <w:color w:val="auto"/>
                <w:sz w:val="18"/>
                <w:szCs w:val="18"/>
              </w:rPr>
            </w:pPr>
          </w:p>
        </w:tc>
      </w:tr>
      <w:tr w14:paraId="7C3153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75D449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未到期应付利息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0D8231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278,669.67</w:t>
            </w:r>
          </w:p>
        </w:tc>
        <w:tc>
          <w:tcPr>
            <w:tcW w:w="3213" w:type="dxa"/>
            <w:tcBorders>
              <w:top w:val="single" w:color="auto" w:sz="2" w:space="0"/>
              <w:left w:val="single" w:color="auto" w:sz="2" w:space="0"/>
              <w:bottom w:val="single" w:color="auto" w:sz="2" w:space="0"/>
              <w:right w:val="single" w:color="auto" w:sz="2" w:space="0"/>
            </w:tcBorders>
            <w:vAlign w:val="center"/>
          </w:tcPr>
          <w:p w14:paraId="3ACDCB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363,112.91</w:t>
            </w:r>
          </w:p>
        </w:tc>
      </w:tr>
      <w:tr w14:paraId="7A28C4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16A73B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减：一年内到期的长期借款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1FFF91A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-130,987,669.67</w:t>
            </w:r>
          </w:p>
        </w:tc>
        <w:tc>
          <w:tcPr>
            <w:tcW w:w="3213" w:type="dxa"/>
            <w:tcBorders>
              <w:top w:val="single" w:color="auto" w:sz="2" w:space="0"/>
              <w:left w:val="single" w:color="auto" w:sz="2" w:space="0"/>
              <w:bottom w:val="single" w:color="auto" w:sz="2" w:space="0"/>
              <w:right w:val="single" w:color="auto" w:sz="2" w:space="0"/>
            </w:tcBorders>
            <w:vAlign w:val="center"/>
          </w:tcPr>
          <w:p w14:paraId="75E5452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-117,922,112.91</w:t>
            </w:r>
          </w:p>
        </w:tc>
      </w:tr>
      <w:tr w14:paraId="201582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833B2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63DA1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137,083,600.00</w:t>
            </w:r>
          </w:p>
        </w:tc>
        <w:tc>
          <w:tcPr>
            <w:tcW w:w="3213" w:type="dxa"/>
            <w:tcBorders>
              <w:top w:val="single" w:color="auto" w:sz="2" w:space="0"/>
              <w:left w:val="single" w:color="auto" w:sz="2" w:space="0"/>
              <w:bottom w:val="single" w:color="auto" w:sz="2" w:space="0"/>
              <w:right w:val="single" w:color="auto" w:sz="2" w:space="0"/>
            </w:tcBorders>
            <w:vAlign w:val="center"/>
          </w:tcPr>
          <w:p w14:paraId="40C237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142,363,100.00</w:t>
            </w:r>
          </w:p>
        </w:tc>
      </w:tr>
    </w:tbl>
    <w:p w14:paraId="72F3DC3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长期借款分类的说明：</w:t>
      </w:r>
    </w:p>
    <w:p w14:paraId="3A32A77D">
      <w:pPr>
        <w:pStyle w:val="4"/>
        <w:keepNext w:val="0"/>
        <w:keepLines w:val="0"/>
        <w:widowControl/>
        <w:suppressLineNumbers w:val="0"/>
        <w:rPr>
          <w:color w:val="auto"/>
        </w:rPr>
      </w:pPr>
      <w:r>
        <w:rPr>
          <w:rFonts w:hint="eastAsia" w:ascii="宋体" w:hAnsi="宋体" w:eastAsia="宋体" w:cs="宋体"/>
          <w:color w:val="auto"/>
          <w:sz w:val="18"/>
          <w:szCs w:val="18"/>
        </w:rPr>
        <w:t>1、2022年11月，公司、李国平分别与中信银行股份有限公司福州分行签署了编号为(2022)信银榕长字第2022111164449221号的《最高额抵押合同》、(2022)信银榕长字第2022111164449222号的《最高额保证合同》，担保债权最高额限度为人民币12,480万元，抵押物为坐落于闽侯县上街镇乌龙江中大道7号（A地块）福州高新区海西高新技术产业园创新园二期16#楼。截至2025年6月30日，借款余额8,415万元。</w:t>
      </w:r>
    </w:p>
    <w:p w14:paraId="73B64762">
      <w:pPr>
        <w:pStyle w:val="4"/>
        <w:keepNext w:val="0"/>
        <w:keepLines w:val="0"/>
        <w:widowControl/>
        <w:suppressLineNumbers w:val="0"/>
        <w:rPr>
          <w:color w:val="auto"/>
        </w:rPr>
      </w:pPr>
      <w:r>
        <w:rPr>
          <w:rFonts w:hint="eastAsia" w:ascii="宋体" w:hAnsi="宋体" w:eastAsia="宋体" w:cs="宋体"/>
          <w:color w:val="auto"/>
          <w:sz w:val="18"/>
          <w:szCs w:val="18"/>
        </w:rPr>
        <w:t>2、2022年12月，公司、李国平分别与兴业银行股份有限公司福州分行签署了编号为项HQ2022126-DB2的《抵押合同》、项HQ2022126-DB1的《保证合同》，担保的主合同为编号项HQ2022126的《项目融资借款合同》，保证限额为15,000万元。截至2025年6月30日，借款余额8,204.26万元。</w:t>
      </w:r>
    </w:p>
    <w:p w14:paraId="2AF242EC">
      <w:pPr>
        <w:pStyle w:val="4"/>
        <w:keepNext w:val="0"/>
        <w:keepLines w:val="0"/>
        <w:widowControl/>
        <w:suppressLineNumbers w:val="0"/>
        <w:rPr>
          <w:color w:val="auto"/>
        </w:rPr>
      </w:pPr>
      <w:r>
        <w:rPr>
          <w:rFonts w:hint="eastAsia" w:ascii="宋体" w:hAnsi="宋体" w:eastAsia="宋体" w:cs="宋体"/>
          <w:color w:val="auto"/>
          <w:sz w:val="18"/>
          <w:szCs w:val="18"/>
        </w:rPr>
        <w:t>3、2024年，公司及李国平与兴业银行股份有限公司签署了编号为授HQ2024057的《额度授信合同》，其下还有编号为授HQ2024057-DB1的《最高额保证合同》和授HQ2024057-DB2的《最高额抵押合同》，授信合同的最高额度限度为人民币10,580万元整；保证人为李国平，抵押物为柘荣县东源乡洋边村洋边1-6号制剂车间(三)、口服固体制剂车间、质检中心、综合办公楼、口服固体制剂车间(一)、合成车间(二)、化学品仓库(三)、提取车间、合成车间(一)、配电室水泵房、机修车间、化学品仓库(一)、化学品仓库(二)、锅炉房(下)、锅炉房(上)、门卫(二)、门卫(一)及土地，权证编号为闽(2022)柘荣县不动产权第0005954号；公司于2024年9月取得借款4,080万元，于2025年2月取得借款1,500万元，截至2025年6月30日，借款余额为5,570万元。</w:t>
      </w:r>
    </w:p>
    <w:p w14:paraId="22E4D0D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其他说明，包括利率区间：</w:t>
      </w:r>
    </w:p>
    <w:p w14:paraId="326A5818">
      <w:pPr>
        <w:keepNext/>
        <w:keepLines/>
        <w:spacing w:before="300" w:after="300" w:line="280" w:lineRule="exact"/>
        <w:jc w:val="left"/>
        <w:outlineLvl w:val="2"/>
        <w:rPr>
          <w:rFonts w:ascii="宋体" w:hAnsi="宋体" w:eastAsia="宋体" w:cs="宋体"/>
          <w:b/>
          <w:bCs/>
          <w:color w:val="auto"/>
          <w:sz w:val="21"/>
          <w:szCs w:val="21"/>
        </w:rPr>
      </w:pPr>
      <w:bookmarkStart w:id="237" w:name="_Toc989213"/>
      <w:r>
        <w:rPr>
          <w:rFonts w:ascii="宋体" w:hAnsi="宋体" w:eastAsia="宋体" w:cs="宋体"/>
          <w:b/>
          <w:bCs/>
          <w:color w:val="auto"/>
          <w:sz w:val="21"/>
          <w:szCs w:val="21"/>
        </w:rPr>
        <w:t>46、应付债券</w:t>
      </w:r>
      <w:bookmarkEnd w:id="237"/>
    </w:p>
    <w:p w14:paraId="4BA80296">
      <w:pPr>
        <w:keepNext/>
        <w:keepLines/>
        <w:spacing w:before="300" w:after="300" w:line="280" w:lineRule="exact"/>
        <w:jc w:val="left"/>
        <w:outlineLvl w:val="3"/>
        <w:rPr>
          <w:rFonts w:ascii="宋体" w:hAnsi="宋体" w:eastAsia="宋体" w:cs="宋体"/>
          <w:b/>
          <w:bCs/>
          <w:color w:val="auto"/>
          <w:sz w:val="21"/>
          <w:szCs w:val="21"/>
        </w:rPr>
      </w:pPr>
      <w:bookmarkStart w:id="238" w:name="_Toc989214"/>
      <w:r>
        <w:rPr>
          <w:rFonts w:ascii="宋体" w:hAnsi="宋体" w:eastAsia="宋体" w:cs="宋体"/>
          <w:b/>
          <w:bCs/>
          <w:color w:val="auto"/>
          <w:sz w:val="21"/>
          <w:szCs w:val="21"/>
        </w:rPr>
        <w:t>（1）应付债券</w:t>
      </w:r>
      <w:bookmarkEnd w:id="238"/>
    </w:p>
    <w:p w14:paraId="692222F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B47FD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D21B4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E42A1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18F74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2F9E2EDD">
      <w:pPr>
        <w:keepNext/>
        <w:keepLines/>
        <w:spacing w:before="300" w:after="300" w:line="280" w:lineRule="exact"/>
        <w:jc w:val="left"/>
        <w:outlineLvl w:val="3"/>
        <w:rPr>
          <w:rFonts w:ascii="宋体" w:hAnsi="宋体" w:eastAsia="宋体" w:cs="宋体"/>
          <w:b/>
          <w:bCs/>
          <w:color w:val="auto"/>
          <w:sz w:val="21"/>
          <w:szCs w:val="21"/>
        </w:rPr>
      </w:pPr>
      <w:bookmarkStart w:id="239" w:name="_Toc989215"/>
      <w:r>
        <w:rPr>
          <w:rFonts w:ascii="宋体" w:hAnsi="宋体" w:eastAsia="宋体" w:cs="宋体"/>
          <w:b/>
          <w:bCs/>
          <w:color w:val="auto"/>
          <w:sz w:val="21"/>
          <w:szCs w:val="21"/>
        </w:rPr>
        <w:t>（2）应付债券的增减变动（不包括划分为金融负债的优先股、永续债等其他金融工具）</w:t>
      </w:r>
      <w:bookmarkEnd w:id="239"/>
    </w:p>
    <w:p w14:paraId="34EE4662">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89"/>
        <w:gridCol w:w="689"/>
        <w:gridCol w:w="689"/>
        <w:gridCol w:w="689"/>
        <w:gridCol w:w="689"/>
        <w:gridCol w:w="689"/>
        <w:gridCol w:w="689"/>
        <w:gridCol w:w="689"/>
        <w:gridCol w:w="689"/>
        <w:gridCol w:w="689"/>
        <w:gridCol w:w="689"/>
        <w:gridCol w:w="689"/>
        <w:gridCol w:w="689"/>
        <w:gridCol w:w="689"/>
      </w:tblGrid>
      <w:tr w14:paraId="21A06E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694197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债券名称</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1585D9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面值</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9748F8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票面利率</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7A729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发行日期</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98DEEB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债券期限</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08622F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发行金额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28C096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1A87036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本期发行</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4573E6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按面值计提利息</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C76F63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溢折价摊销</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5ECE09D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本期偿还</w:t>
            </w:r>
          </w:p>
        </w:tc>
        <w:tc>
          <w:tcPr>
            <w:tcW w:w="689" w:type="dxa"/>
            <w:tcBorders>
              <w:top w:val="single" w:color="auto" w:sz="2" w:space="0"/>
              <w:left w:val="single" w:color="auto" w:sz="2" w:space="0"/>
              <w:bottom w:val="single" w:color="auto" w:sz="2" w:space="0"/>
              <w:right w:val="single" w:color="auto" w:sz="2" w:space="0"/>
            </w:tcBorders>
            <w:vAlign w:val="center"/>
          </w:tcPr>
          <w:p w14:paraId="078DD6E6">
            <w:pPr>
              <w:spacing w:before="0" w:after="0" w:line="240" w:lineRule="exact"/>
              <w:jc w:val="center"/>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2B8BB3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5792B6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是否违约</w:t>
            </w:r>
          </w:p>
        </w:tc>
      </w:tr>
      <w:tr w14:paraId="1B671D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vAlign w:val="center"/>
          </w:tcPr>
          <w:p w14:paraId="031367B3">
            <w:pPr>
              <w:spacing w:before="0" w:after="0" w:line="240" w:lineRule="exact"/>
              <w:jc w:val="lef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ABF9759">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4BCFBE7">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000762B">
            <w:pPr>
              <w:spacing w:before="0" w:after="0" w:line="240" w:lineRule="exact"/>
              <w:jc w:val="lef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C1BC802">
            <w:pPr>
              <w:spacing w:before="0" w:after="0" w:line="240" w:lineRule="exact"/>
              <w:jc w:val="lef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B9F04EE">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D667435">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48F8143">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3D26C6CD">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EB4F2E6">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F388E70">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2CCA5C1">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1565BBB0">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C235727">
            <w:pPr>
              <w:spacing w:before="0" w:after="0" w:line="240" w:lineRule="exact"/>
              <w:jc w:val="left"/>
              <w:rPr>
                <w:rFonts w:ascii="宋体" w:hAnsi="宋体" w:eastAsia="宋体" w:cs="宋体"/>
                <w:color w:val="auto"/>
                <w:sz w:val="18"/>
                <w:szCs w:val="18"/>
              </w:rPr>
            </w:pPr>
          </w:p>
        </w:tc>
      </w:tr>
      <w:tr w14:paraId="43A517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2A9E6A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34A4EC14">
            <w:pPr>
              <w:rPr>
                <w:color w:val="auto"/>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670C08B">
            <w:pPr>
              <w:rPr>
                <w:color w:val="auto"/>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60230D83">
            <w:pPr>
              <w:rPr>
                <w:color w:val="auto"/>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01738F52">
            <w:pPr>
              <w:rPr>
                <w:color w:val="auto"/>
              </w:rPr>
            </w:pPr>
          </w:p>
        </w:tc>
        <w:tc>
          <w:tcPr>
            <w:tcW w:w="689" w:type="dxa"/>
            <w:tcBorders>
              <w:top w:val="single" w:color="auto" w:sz="2" w:space="0"/>
              <w:left w:val="single" w:color="auto" w:sz="2" w:space="0"/>
              <w:bottom w:val="single" w:color="auto" w:sz="2" w:space="0"/>
              <w:right w:val="single" w:color="auto" w:sz="2" w:space="0"/>
            </w:tcBorders>
            <w:vAlign w:val="center"/>
          </w:tcPr>
          <w:p w14:paraId="555DA573">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2F179066">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7FF0795">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5F390EF4">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0ACA07BA">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31BF6D2">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657CCADA">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vAlign w:val="center"/>
          </w:tcPr>
          <w:p w14:paraId="4A637361">
            <w:pPr>
              <w:spacing w:before="0" w:after="0" w:line="240" w:lineRule="exact"/>
              <w:jc w:val="right"/>
              <w:rPr>
                <w:rFonts w:ascii="宋体" w:hAnsi="宋体" w:eastAsia="宋体" w:cs="宋体"/>
                <w:color w:val="auto"/>
                <w:sz w:val="18"/>
                <w:szCs w:val="18"/>
              </w:rPr>
            </w:pPr>
          </w:p>
        </w:tc>
        <w:tc>
          <w:tcPr>
            <w:tcW w:w="689" w:type="dxa"/>
            <w:tcBorders>
              <w:top w:val="single" w:color="auto" w:sz="2" w:space="0"/>
              <w:left w:val="single" w:color="auto" w:sz="2" w:space="0"/>
              <w:bottom w:val="single" w:color="auto" w:sz="2" w:space="0"/>
              <w:right w:val="single" w:color="auto" w:sz="2" w:space="0"/>
            </w:tcBorders>
            <w:shd w:val="clear" w:color="auto" w:fill="D3D3D3"/>
            <w:vAlign w:val="center"/>
          </w:tcPr>
          <w:p w14:paraId="7D20BCCE">
            <w:pPr>
              <w:rPr>
                <w:color w:val="auto"/>
              </w:rPr>
            </w:pPr>
          </w:p>
        </w:tc>
      </w:tr>
    </w:tbl>
    <w:p w14:paraId="00388A27">
      <w:pPr>
        <w:keepNext/>
        <w:keepLines/>
        <w:spacing w:before="300" w:after="300" w:line="280" w:lineRule="exact"/>
        <w:jc w:val="left"/>
        <w:outlineLvl w:val="3"/>
        <w:rPr>
          <w:rFonts w:ascii="宋体" w:hAnsi="宋体" w:eastAsia="宋体" w:cs="宋体"/>
          <w:b/>
          <w:bCs/>
          <w:color w:val="auto"/>
          <w:sz w:val="21"/>
          <w:szCs w:val="21"/>
        </w:rPr>
      </w:pPr>
      <w:bookmarkStart w:id="240" w:name="_Toc989216"/>
      <w:r>
        <w:rPr>
          <w:rFonts w:ascii="宋体" w:hAnsi="宋体" w:eastAsia="宋体" w:cs="宋体"/>
          <w:b/>
          <w:bCs/>
          <w:color w:val="auto"/>
          <w:sz w:val="21"/>
          <w:szCs w:val="21"/>
        </w:rPr>
        <w:t>（3）可转换公司债券的说明</w:t>
      </w:r>
      <w:bookmarkEnd w:id="240"/>
    </w:p>
    <w:p w14:paraId="449D710D">
      <w:pPr>
        <w:keepNext/>
        <w:keepLines/>
        <w:spacing w:before="300" w:after="300" w:line="280" w:lineRule="exact"/>
        <w:jc w:val="left"/>
        <w:outlineLvl w:val="3"/>
        <w:rPr>
          <w:rFonts w:ascii="宋体" w:hAnsi="宋体" w:eastAsia="宋体" w:cs="宋体"/>
          <w:b/>
          <w:bCs/>
          <w:color w:val="auto"/>
          <w:sz w:val="21"/>
          <w:szCs w:val="21"/>
        </w:rPr>
      </w:pPr>
      <w:bookmarkStart w:id="241" w:name="_Toc989217"/>
      <w:r>
        <w:rPr>
          <w:rFonts w:ascii="宋体" w:hAnsi="宋体" w:eastAsia="宋体" w:cs="宋体"/>
          <w:b/>
          <w:bCs/>
          <w:color w:val="auto"/>
          <w:sz w:val="21"/>
          <w:szCs w:val="21"/>
        </w:rPr>
        <w:t>（4）划分为金融负债的其他金融工具说明</w:t>
      </w:r>
      <w:bookmarkEnd w:id="241"/>
    </w:p>
    <w:p w14:paraId="2DCBB6C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期末发行在外的优先股、永续债等其他金融工具基本情况</w:t>
      </w:r>
    </w:p>
    <w:p w14:paraId="7986E29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期末发行在外的优先股、永续债等金融工具变动情况表</w:t>
      </w:r>
    </w:p>
    <w:p w14:paraId="3F4A7BE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2C3E95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6D3463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发行在外的金融工具</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318275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719705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BF333E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C89B38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w:t>
            </w:r>
          </w:p>
        </w:tc>
      </w:tr>
      <w:tr w14:paraId="33593E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vAlign w:val="center"/>
          </w:tcPr>
          <w:p w14:paraId="6846776C">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D7A17D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DADA90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EB1C2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2F88EE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4E86C2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8EFC07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D8A45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FC9BA5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bl>
    <w:p w14:paraId="7C9CB50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其他金融工具划分为金融负债的依据说明</w:t>
      </w:r>
    </w:p>
    <w:p w14:paraId="024A096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D6E142D">
      <w:pPr>
        <w:keepNext/>
        <w:keepLines/>
        <w:spacing w:before="300" w:after="300" w:line="280" w:lineRule="exact"/>
        <w:jc w:val="left"/>
        <w:outlineLvl w:val="2"/>
        <w:rPr>
          <w:rFonts w:ascii="宋体" w:hAnsi="宋体" w:eastAsia="宋体" w:cs="宋体"/>
          <w:b/>
          <w:bCs/>
          <w:color w:val="auto"/>
          <w:sz w:val="21"/>
          <w:szCs w:val="21"/>
        </w:rPr>
      </w:pPr>
      <w:bookmarkStart w:id="242" w:name="_Toc989218"/>
      <w:r>
        <w:rPr>
          <w:rFonts w:ascii="宋体" w:hAnsi="宋体" w:eastAsia="宋体" w:cs="宋体"/>
          <w:b/>
          <w:bCs/>
          <w:color w:val="auto"/>
          <w:sz w:val="21"/>
          <w:szCs w:val="21"/>
        </w:rPr>
        <w:t>47、租赁负债</w:t>
      </w:r>
      <w:bookmarkEnd w:id="242"/>
    </w:p>
    <w:p w14:paraId="7F66FD0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FC138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9F5AA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F6639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CBC3B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302721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A071CB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3213" w:type="dxa"/>
            <w:tcBorders>
              <w:top w:val="single" w:color="auto" w:sz="2" w:space="0"/>
              <w:left w:val="single" w:color="auto" w:sz="2" w:space="0"/>
              <w:bottom w:val="single" w:color="auto" w:sz="2" w:space="0"/>
              <w:right w:val="single" w:color="auto" w:sz="2" w:space="0"/>
            </w:tcBorders>
            <w:vAlign w:val="center"/>
          </w:tcPr>
          <w:p w14:paraId="771E1A9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515F12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97,142.87</w:t>
            </w:r>
          </w:p>
        </w:tc>
      </w:tr>
      <w:tr w14:paraId="61B288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9C2F48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1-2年</w:t>
            </w:r>
          </w:p>
        </w:tc>
        <w:tc>
          <w:tcPr>
            <w:tcW w:w="3213" w:type="dxa"/>
            <w:tcBorders>
              <w:top w:val="single" w:color="auto" w:sz="2" w:space="0"/>
              <w:left w:val="single" w:color="auto" w:sz="2" w:space="0"/>
              <w:bottom w:val="single" w:color="auto" w:sz="2" w:space="0"/>
              <w:right w:val="single" w:color="auto" w:sz="2" w:space="0"/>
            </w:tcBorders>
            <w:vAlign w:val="center"/>
          </w:tcPr>
          <w:p w14:paraId="349620C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CB6B8D7">
            <w:pPr>
              <w:spacing w:before="0" w:after="0" w:line="240" w:lineRule="exact"/>
              <w:jc w:val="right"/>
              <w:rPr>
                <w:rFonts w:ascii="宋体" w:hAnsi="宋体" w:eastAsia="宋体" w:cs="宋体"/>
                <w:color w:val="auto"/>
                <w:sz w:val="18"/>
                <w:szCs w:val="18"/>
              </w:rPr>
            </w:pPr>
          </w:p>
        </w:tc>
      </w:tr>
      <w:tr w14:paraId="21CFDD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660DAA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减：未确认融资费用</w:t>
            </w:r>
          </w:p>
        </w:tc>
        <w:tc>
          <w:tcPr>
            <w:tcW w:w="3213" w:type="dxa"/>
            <w:tcBorders>
              <w:top w:val="single" w:color="auto" w:sz="2" w:space="0"/>
              <w:left w:val="single" w:color="auto" w:sz="2" w:space="0"/>
              <w:bottom w:val="single" w:color="auto" w:sz="2" w:space="0"/>
              <w:right w:val="single" w:color="auto" w:sz="2" w:space="0"/>
            </w:tcBorders>
            <w:vAlign w:val="center"/>
          </w:tcPr>
          <w:p w14:paraId="51A6EB3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227968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-1,900.00</w:t>
            </w:r>
          </w:p>
        </w:tc>
      </w:tr>
      <w:tr w14:paraId="1CD1B3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95D57C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减：一年内到期的租赁负债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0B54DC7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E3E84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-95,242.87</w:t>
            </w:r>
          </w:p>
        </w:tc>
      </w:tr>
    </w:tbl>
    <w:p w14:paraId="6449D99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795F782">
      <w:pPr>
        <w:keepNext/>
        <w:keepLines/>
        <w:spacing w:before="300" w:after="300" w:line="280" w:lineRule="exact"/>
        <w:jc w:val="left"/>
        <w:outlineLvl w:val="2"/>
        <w:rPr>
          <w:rFonts w:ascii="宋体" w:hAnsi="宋体" w:eastAsia="宋体" w:cs="宋体"/>
          <w:b/>
          <w:bCs/>
          <w:color w:val="auto"/>
          <w:sz w:val="21"/>
          <w:szCs w:val="21"/>
        </w:rPr>
      </w:pPr>
      <w:bookmarkStart w:id="243" w:name="_Toc989219"/>
      <w:r>
        <w:rPr>
          <w:rFonts w:ascii="宋体" w:hAnsi="宋体" w:eastAsia="宋体" w:cs="宋体"/>
          <w:b/>
          <w:bCs/>
          <w:color w:val="auto"/>
          <w:sz w:val="21"/>
          <w:szCs w:val="21"/>
        </w:rPr>
        <w:t>48、长期应付款</w:t>
      </w:r>
      <w:bookmarkEnd w:id="243"/>
    </w:p>
    <w:p w14:paraId="0F8F2C8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82472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07DD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EE13D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9D1B1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4BD7BDEF">
      <w:pPr>
        <w:keepNext/>
        <w:keepLines/>
        <w:spacing w:before="300" w:after="300" w:line="280" w:lineRule="exact"/>
        <w:jc w:val="left"/>
        <w:outlineLvl w:val="3"/>
        <w:rPr>
          <w:rFonts w:ascii="宋体" w:hAnsi="宋体" w:eastAsia="宋体" w:cs="宋体"/>
          <w:b/>
          <w:bCs/>
          <w:color w:val="auto"/>
          <w:sz w:val="18"/>
          <w:szCs w:val="18"/>
        </w:rPr>
      </w:pPr>
      <w:bookmarkStart w:id="244" w:name="_Toc989220"/>
      <w:r>
        <w:rPr>
          <w:rFonts w:ascii="宋体" w:hAnsi="宋体" w:eastAsia="宋体" w:cs="宋体"/>
          <w:b/>
          <w:bCs/>
          <w:color w:val="auto"/>
          <w:sz w:val="18"/>
          <w:szCs w:val="18"/>
        </w:rPr>
        <w:t>（1）按款项性质列示长期应付款</w:t>
      </w:r>
      <w:bookmarkEnd w:id="244"/>
    </w:p>
    <w:p w14:paraId="414FC4C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6C6C1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DC6DB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400C1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D2103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7791208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31115757">
      <w:pPr>
        <w:keepNext/>
        <w:keepLines/>
        <w:spacing w:before="300" w:after="300" w:line="280" w:lineRule="exact"/>
        <w:jc w:val="left"/>
        <w:outlineLvl w:val="3"/>
        <w:rPr>
          <w:rFonts w:ascii="宋体" w:hAnsi="宋体" w:eastAsia="宋体" w:cs="宋体"/>
          <w:b/>
          <w:bCs/>
          <w:color w:val="auto"/>
          <w:sz w:val="18"/>
          <w:szCs w:val="18"/>
        </w:rPr>
      </w:pPr>
      <w:bookmarkStart w:id="245" w:name="_Toc989221"/>
      <w:r>
        <w:rPr>
          <w:rFonts w:ascii="宋体" w:hAnsi="宋体" w:eastAsia="宋体" w:cs="宋体"/>
          <w:b/>
          <w:bCs/>
          <w:color w:val="auto"/>
          <w:sz w:val="18"/>
          <w:szCs w:val="18"/>
        </w:rPr>
        <w:t>（2）专项应付款</w:t>
      </w:r>
      <w:bookmarkEnd w:id="245"/>
    </w:p>
    <w:p w14:paraId="5F5B5A5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041A41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1D5EC6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0FC9B7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1FA6C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C4F56F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2C13CA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27EF4B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形成原因</w:t>
            </w:r>
          </w:p>
        </w:tc>
      </w:tr>
    </w:tbl>
    <w:p w14:paraId="6E21176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AB8F5F5">
      <w:pPr>
        <w:keepNext/>
        <w:keepLines/>
        <w:spacing w:before="300" w:after="300" w:line="280" w:lineRule="exact"/>
        <w:jc w:val="left"/>
        <w:outlineLvl w:val="2"/>
        <w:rPr>
          <w:rFonts w:ascii="宋体" w:hAnsi="宋体" w:eastAsia="宋体" w:cs="宋体"/>
          <w:b/>
          <w:bCs/>
          <w:color w:val="auto"/>
          <w:sz w:val="21"/>
          <w:szCs w:val="21"/>
        </w:rPr>
      </w:pPr>
      <w:bookmarkStart w:id="246" w:name="_Toc989222"/>
      <w:r>
        <w:rPr>
          <w:rFonts w:ascii="宋体" w:hAnsi="宋体" w:eastAsia="宋体" w:cs="宋体"/>
          <w:b/>
          <w:bCs/>
          <w:color w:val="auto"/>
          <w:sz w:val="21"/>
          <w:szCs w:val="21"/>
        </w:rPr>
        <w:t>49、长期应付职工薪酬</w:t>
      </w:r>
      <w:bookmarkEnd w:id="246"/>
    </w:p>
    <w:p w14:paraId="6B6BA2E0">
      <w:pPr>
        <w:keepNext/>
        <w:keepLines/>
        <w:spacing w:before="300" w:after="300" w:line="280" w:lineRule="exact"/>
        <w:jc w:val="left"/>
        <w:outlineLvl w:val="3"/>
        <w:rPr>
          <w:rFonts w:ascii="宋体" w:hAnsi="宋体" w:eastAsia="宋体" w:cs="宋体"/>
          <w:b/>
          <w:bCs/>
          <w:color w:val="auto"/>
          <w:sz w:val="18"/>
          <w:szCs w:val="18"/>
        </w:rPr>
      </w:pPr>
      <w:bookmarkStart w:id="247" w:name="_Toc989223"/>
      <w:r>
        <w:rPr>
          <w:rFonts w:ascii="宋体" w:hAnsi="宋体" w:eastAsia="宋体" w:cs="宋体"/>
          <w:b/>
          <w:bCs/>
          <w:color w:val="auto"/>
          <w:sz w:val="18"/>
          <w:szCs w:val="18"/>
        </w:rPr>
        <w:t>（1）长期应付职工薪酬表</w:t>
      </w:r>
      <w:bookmarkEnd w:id="247"/>
    </w:p>
    <w:p w14:paraId="3196E93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45E83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57257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4414F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D879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408039E7">
      <w:pPr>
        <w:keepNext/>
        <w:keepLines/>
        <w:spacing w:before="300" w:after="300" w:line="280" w:lineRule="exact"/>
        <w:jc w:val="left"/>
        <w:outlineLvl w:val="3"/>
        <w:rPr>
          <w:rFonts w:ascii="宋体" w:hAnsi="宋体" w:eastAsia="宋体" w:cs="宋体"/>
          <w:b/>
          <w:bCs/>
          <w:color w:val="auto"/>
          <w:sz w:val="18"/>
          <w:szCs w:val="18"/>
        </w:rPr>
      </w:pPr>
      <w:bookmarkStart w:id="248" w:name="_Toc989224"/>
      <w:r>
        <w:rPr>
          <w:rFonts w:ascii="宋体" w:hAnsi="宋体" w:eastAsia="宋体" w:cs="宋体"/>
          <w:b/>
          <w:bCs/>
          <w:color w:val="auto"/>
          <w:sz w:val="18"/>
          <w:szCs w:val="18"/>
        </w:rPr>
        <w:t>（2）设定受益计划变动情况</w:t>
      </w:r>
      <w:bookmarkEnd w:id="248"/>
    </w:p>
    <w:p w14:paraId="7D4854D8">
      <w:pPr>
        <w:spacing w:before="120" w:after="120" w:line="240" w:lineRule="exact"/>
        <w:jc w:val="left"/>
        <w:rPr>
          <w:rFonts w:ascii="宋体" w:hAnsi="宋体" w:eastAsia="宋体" w:cs="宋体"/>
          <w:color w:val="auto"/>
          <w:sz w:val="18"/>
          <w:szCs w:val="18"/>
        </w:rPr>
      </w:pPr>
      <w:r>
        <w:rPr>
          <w:rFonts w:ascii="宋体" w:hAnsi="宋体" w:eastAsia="宋体" w:cs="宋体"/>
          <w:color w:val="auto"/>
          <w:sz w:val="18"/>
          <w:szCs w:val="18"/>
        </w:rPr>
        <w:t>设定受益计划义务现值：</w:t>
      </w:r>
    </w:p>
    <w:p w14:paraId="2728EFA7">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64EEA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C2F2E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6CDB4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48BDA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7CCBB9A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计划资产：</w:t>
      </w:r>
    </w:p>
    <w:p w14:paraId="68EDDFF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4CEA5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F61A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82E43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3C18F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28BD448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设定受益计划净负债（净资产）</w:t>
      </w:r>
    </w:p>
    <w:p w14:paraId="43F518B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02A59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D39EC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7F5AD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7273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2802187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设定受益计划的内容及与之相关风险、对公司未来现金流量、时间和不确定性的影响说明：</w:t>
      </w:r>
    </w:p>
    <w:p w14:paraId="7769C8A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设定受益计划重大精算假设及敏感性分析结果说明：</w:t>
      </w:r>
    </w:p>
    <w:p w14:paraId="3AFFE8E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F0F2284">
      <w:pPr>
        <w:keepNext/>
        <w:keepLines/>
        <w:spacing w:before="300" w:after="300" w:line="280" w:lineRule="exact"/>
        <w:jc w:val="left"/>
        <w:outlineLvl w:val="2"/>
        <w:rPr>
          <w:rFonts w:ascii="宋体" w:hAnsi="宋体" w:eastAsia="宋体" w:cs="宋体"/>
          <w:b/>
          <w:bCs/>
          <w:color w:val="auto"/>
          <w:sz w:val="21"/>
          <w:szCs w:val="21"/>
        </w:rPr>
      </w:pPr>
      <w:bookmarkStart w:id="249" w:name="_Toc989225"/>
      <w:r>
        <w:rPr>
          <w:rFonts w:ascii="宋体" w:hAnsi="宋体" w:eastAsia="宋体" w:cs="宋体"/>
          <w:b/>
          <w:bCs/>
          <w:color w:val="auto"/>
          <w:sz w:val="21"/>
          <w:szCs w:val="21"/>
        </w:rPr>
        <w:t>50、预计负债</w:t>
      </w:r>
      <w:bookmarkEnd w:id="249"/>
    </w:p>
    <w:p w14:paraId="24AFFC2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48FD9D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8A4C2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258BD5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6E94C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A92E43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形成原因</w:t>
            </w:r>
          </w:p>
        </w:tc>
      </w:tr>
      <w:tr w14:paraId="5F3AFF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C7638A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预计退货款</w:t>
            </w:r>
          </w:p>
        </w:tc>
        <w:tc>
          <w:tcPr>
            <w:tcW w:w="2410" w:type="dxa"/>
            <w:tcBorders>
              <w:top w:val="single" w:color="auto" w:sz="2" w:space="0"/>
              <w:left w:val="single" w:color="auto" w:sz="2" w:space="0"/>
              <w:bottom w:val="single" w:color="auto" w:sz="2" w:space="0"/>
              <w:right w:val="single" w:color="auto" w:sz="2" w:space="0"/>
            </w:tcBorders>
            <w:vAlign w:val="center"/>
          </w:tcPr>
          <w:p w14:paraId="68B4F1C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4,060,721.28</w:t>
            </w:r>
          </w:p>
        </w:tc>
        <w:tc>
          <w:tcPr>
            <w:tcW w:w="2410" w:type="dxa"/>
            <w:tcBorders>
              <w:top w:val="single" w:color="auto" w:sz="2" w:space="0"/>
              <w:left w:val="single" w:color="auto" w:sz="2" w:space="0"/>
              <w:bottom w:val="single" w:color="auto" w:sz="2" w:space="0"/>
              <w:right w:val="single" w:color="auto" w:sz="2" w:space="0"/>
            </w:tcBorders>
            <w:vAlign w:val="center"/>
          </w:tcPr>
          <w:p w14:paraId="7E5D426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1,035,871.46</w:t>
            </w:r>
          </w:p>
        </w:tc>
        <w:tc>
          <w:tcPr>
            <w:tcW w:w="2410" w:type="dxa"/>
            <w:tcBorders>
              <w:top w:val="single" w:color="auto" w:sz="2" w:space="0"/>
              <w:left w:val="single" w:color="auto" w:sz="2" w:space="0"/>
              <w:bottom w:val="single" w:color="auto" w:sz="2" w:space="0"/>
              <w:right w:val="single" w:color="auto" w:sz="2" w:space="0"/>
            </w:tcBorders>
            <w:vAlign w:val="center"/>
          </w:tcPr>
          <w:p w14:paraId="69997959">
            <w:pPr>
              <w:spacing w:before="0" w:after="0" w:line="240" w:lineRule="exact"/>
              <w:jc w:val="left"/>
              <w:rPr>
                <w:rFonts w:ascii="宋体" w:hAnsi="宋体" w:eastAsia="宋体" w:cs="宋体"/>
                <w:color w:val="auto"/>
                <w:sz w:val="18"/>
                <w:szCs w:val="18"/>
              </w:rPr>
            </w:pPr>
          </w:p>
        </w:tc>
      </w:tr>
      <w:tr w14:paraId="544C3B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DD91E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AD8695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4,060,721.28</w:t>
            </w:r>
          </w:p>
        </w:tc>
        <w:tc>
          <w:tcPr>
            <w:tcW w:w="2410" w:type="dxa"/>
            <w:tcBorders>
              <w:top w:val="single" w:color="auto" w:sz="2" w:space="0"/>
              <w:left w:val="single" w:color="auto" w:sz="2" w:space="0"/>
              <w:bottom w:val="single" w:color="auto" w:sz="2" w:space="0"/>
              <w:right w:val="single" w:color="auto" w:sz="2" w:space="0"/>
            </w:tcBorders>
            <w:vAlign w:val="center"/>
          </w:tcPr>
          <w:p w14:paraId="7D7B7ED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1,035,871.46</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45C8FB9">
            <w:pPr>
              <w:rPr>
                <w:color w:val="auto"/>
              </w:rPr>
            </w:pPr>
          </w:p>
        </w:tc>
      </w:tr>
    </w:tbl>
    <w:p w14:paraId="28E3009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其他说明，包括重要预计负债的相关重要假设、估计说明：</w:t>
      </w:r>
    </w:p>
    <w:p w14:paraId="49C9999B">
      <w:pPr>
        <w:keepNext/>
        <w:keepLines/>
        <w:spacing w:before="300" w:after="300" w:line="280" w:lineRule="exact"/>
        <w:jc w:val="left"/>
        <w:outlineLvl w:val="2"/>
        <w:rPr>
          <w:rFonts w:ascii="宋体" w:hAnsi="宋体" w:eastAsia="宋体" w:cs="宋体"/>
          <w:b/>
          <w:bCs/>
          <w:color w:val="auto"/>
          <w:sz w:val="21"/>
          <w:szCs w:val="21"/>
        </w:rPr>
      </w:pPr>
      <w:bookmarkStart w:id="250" w:name="_Toc989226"/>
      <w:r>
        <w:rPr>
          <w:rFonts w:ascii="宋体" w:hAnsi="宋体" w:eastAsia="宋体" w:cs="宋体"/>
          <w:b/>
          <w:bCs/>
          <w:color w:val="auto"/>
          <w:sz w:val="21"/>
          <w:szCs w:val="21"/>
        </w:rPr>
        <w:t>51、递延收益</w:t>
      </w:r>
      <w:bookmarkEnd w:id="250"/>
    </w:p>
    <w:p w14:paraId="58F6067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2C7878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0964F4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011CC9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73106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43CF68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46106D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8D7B5C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形成原因</w:t>
            </w:r>
          </w:p>
        </w:tc>
      </w:tr>
      <w:tr w14:paraId="5293B6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AA2514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与资产相关政府补助</w:t>
            </w:r>
          </w:p>
        </w:tc>
        <w:tc>
          <w:tcPr>
            <w:tcW w:w="1606" w:type="dxa"/>
            <w:tcBorders>
              <w:top w:val="single" w:color="auto" w:sz="2" w:space="0"/>
              <w:left w:val="single" w:color="auto" w:sz="2" w:space="0"/>
              <w:bottom w:val="single" w:color="auto" w:sz="2" w:space="0"/>
              <w:right w:val="single" w:color="auto" w:sz="2" w:space="0"/>
            </w:tcBorders>
            <w:vAlign w:val="center"/>
          </w:tcPr>
          <w:p w14:paraId="25A80D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63,490,600.62</w:t>
            </w:r>
          </w:p>
        </w:tc>
        <w:tc>
          <w:tcPr>
            <w:tcW w:w="1606" w:type="dxa"/>
            <w:tcBorders>
              <w:top w:val="single" w:color="auto" w:sz="2" w:space="0"/>
              <w:left w:val="single" w:color="auto" w:sz="2" w:space="0"/>
              <w:bottom w:val="single" w:color="auto" w:sz="2" w:space="0"/>
              <w:right w:val="single" w:color="auto" w:sz="2" w:space="0"/>
            </w:tcBorders>
            <w:vAlign w:val="center"/>
          </w:tcPr>
          <w:p w14:paraId="4C5F32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1,687,700.00</w:t>
            </w:r>
          </w:p>
        </w:tc>
        <w:tc>
          <w:tcPr>
            <w:tcW w:w="1606" w:type="dxa"/>
            <w:tcBorders>
              <w:top w:val="single" w:color="auto" w:sz="2" w:space="0"/>
              <w:left w:val="single" w:color="auto" w:sz="2" w:space="0"/>
              <w:bottom w:val="single" w:color="auto" w:sz="2" w:space="0"/>
              <w:right w:val="single" w:color="auto" w:sz="2" w:space="0"/>
            </w:tcBorders>
            <w:vAlign w:val="center"/>
          </w:tcPr>
          <w:p w14:paraId="5120B0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3,758,680.03</w:t>
            </w:r>
          </w:p>
        </w:tc>
        <w:tc>
          <w:tcPr>
            <w:tcW w:w="1606" w:type="dxa"/>
            <w:tcBorders>
              <w:top w:val="single" w:color="auto" w:sz="2" w:space="0"/>
              <w:left w:val="single" w:color="auto" w:sz="2" w:space="0"/>
              <w:bottom w:val="single" w:color="auto" w:sz="2" w:space="0"/>
              <w:right w:val="single" w:color="auto" w:sz="2" w:space="0"/>
            </w:tcBorders>
            <w:vAlign w:val="center"/>
          </w:tcPr>
          <w:p w14:paraId="30C8918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61,419,620.59</w:t>
            </w:r>
          </w:p>
        </w:tc>
        <w:tc>
          <w:tcPr>
            <w:tcW w:w="1606" w:type="dxa"/>
            <w:tcBorders>
              <w:top w:val="single" w:color="auto" w:sz="2" w:space="0"/>
              <w:left w:val="single" w:color="auto" w:sz="2" w:space="0"/>
              <w:bottom w:val="single" w:color="auto" w:sz="2" w:space="0"/>
              <w:right w:val="single" w:color="auto" w:sz="2" w:space="0"/>
            </w:tcBorders>
            <w:vAlign w:val="center"/>
          </w:tcPr>
          <w:p w14:paraId="1497621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详见表1</w:t>
            </w:r>
          </w:p>
        </w:tc>
      </w:tr>
      <w:tr w14:paraId="2B0667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300011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与收益相关政府补助</w:t>
            </w:r>
          </w:p>
        </w:tc>
        <w:tc>
          <w:tcPr>
            <w:tcW w:w="1606" w:type="dxa"/>
            <w:tcBorders>
              <w:top w:val="single" w:color="auto" w:sz="2" w:space="0"/>
              <w:left w:val="single" w:color="auto" w:sz="2" w:space="0"/>
              <w:bottom w:val="single" w:color="auto" w:sz="2" w:space="0"/>
              <w:right w:val="single" w:color="auto" w:sz="2" w:space="0"/>
            </w:tcBorders>
            <w:vAlign w:val="center"/>
          </w:tcPr>
          <w:p w14:paraId="6BFABC5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2,500,000.00</w:t>
            </w:r>
          </w:p>
        </w:tc>
        <w:tc>
          <w:tcPr>
            <w:tcW w:w="1606" w:type="dxa"/>
            <w:tcBorders>
              <w:top w:val="single" w:color="auto" w:sz="2" w:space="0"/>
              <w:left w:val="single" w:color="auto" w:sz="2" w:space="0"/>
              <w:bottom w:val="single" w:color="auto" w:sz="2" w:space="0"/>
              <w:right w:val="single" w:color="auto" w:sz="2" w:space="0"/>
            </w:tcBorders>
            <w:vAlign w:val="center"/>
          </w:tcPr>
          <w:p w14:paraId="2656176B">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35F809F">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B9668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2,500,000.00</w:t>
            </w:r>
          </w:p>
        </w:tc>
        <w:tc>
          <w:tcPr>
            <w:tcW w:w="1606" w:type="dxa"/>
            <w:tcBorders>
              <w:top w:val="single" w:color="auto" w:sz="2" w:space="0"/>
              <w:left w:val="single" w:color="auto" w:sz="2" w:space="0"/>
              <w:bottom w:val="single" w:color="auto" w:sz="2" w:space="0"/>
              <w:right w:val="single" w:color="auto" w:sz="2" w:space="0"/>
            </w:tcBorders>
            <w:vAlign w:val="center"/>
          </w:tcPr>
          <w:p w14:paraId="4C6B4B5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详见表1</w:t>
            </w:r>
          </w:p>
        </w:tc>
      </w:tr>
      <w:tr w14:paraId="388E04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740BCC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1928D1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65,990,600.62</w:t>
            </w:r>
          </w:p>
        </w:tc>
        <w:tc>
          <w:tcPr>
            <w:tcW w:w="1606" w:type="dxa"/>
            <w:tcBorders>
              <w:top w:val="single" w:color="auto" w:sz="2" w:space="0"/>
              <w:left w:val="single" w:color="auto" w:sz="2" w:space="0"/>
              <w:bottom w:val="single" w:color="auto" w:sz="2" w:space="0"/>
              <w:right w:val="single" w:color="auto" w:sz="2" w:space="0"/>
            </w:tcBorders>
            <w:vAlign w:val="center"/>
          </w:tcPr>
          <w:p w14:paraId="4D06043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1,687,700.00</w:t>
            </w:r>
          </w:p>
        </w:tc>
        <w:tc>
          <w:tcPr>
            <w:tcW w:w="1606" w:type="dxa"/>
            <w:tcBorders>
              <w:top w:val="single" w:color="auto" w:sz="2" w:space="0"/>
              <w:left w:val="single" w:color="auto" w:sz="2" w:space="0"/>
              <w:bottom w:val="single" w:color="auto" w:sz="2" w:space="0"/>
              <w:right w:val="single" w:color="auto" w:sz="2" w:space="0"/>
            </w:tcBorders>
            <w:vAlign w:val="center"/>
          </w:tcPr>
          <w:p w14:paraId="592083F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3,758,680.03</w:t>
            </w:r>
          </w:p>
        </w:tc>
        <w:tc>
          <w:tcPr>
            <w:tcW w:w="1606" w:type="dxa"/>
            <w:tcBorders>
              <w:top w:val="single" w:color="auto" w:sz="2" w:space="0"/>
              <w:left w:val="single" w:color="auto" w:sz="2" w:space="0"/>
              <w:bottom w:val="single" w:color="auto" w:sz="2" w:space="0"/>
              <w:right w:val="single" w:color="auto" w:sz="2" w:space="0"/>
            </w:tcBorders>
            <w:vAlign w:val="center"/>
          </w:tcPr>
          <w:p w14:paraId="3FCDAA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63,919,620.59</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DFE563A">
            <w:pPr>
              <w:rPr>
                <w:color w:val="auto"/>
              </w:rPr>
            </w:pPr>
          </w:p>
        </w:tc>
      </w:tr>
    </w:tbl>
    <w:p w14:paraId="3C842A6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4B6EE9D">
      <w:pPr>
        <w:pStyle w:val="4"/>
        <w:keepNext w:val="0"/>
        <w:keepLines w:val="0"/>
        <w:widowControl/>
        <w:suppressLineNumbers w:val="0"/>
        <w:ind w:left="0" w:right="0"/>
        <w:rPr>
          <w:rFonts w:hint="default" w:ascii="Times New Roman" w:hAnsi="Times New Roman" w:cs="Times New Roman"/>
          <w:color w:val="auto"/>
          <w:sz w:val="24"/>
          <w:szCs w:val="24"/>
        </w:rPr>
      </w:pPr>
      <w:r>
        <w:rPr>
          <w:rFonts w:hint="eastAsia" w:ascii="宋体" w:hAnsi="宋体" w:eastAsia="宋体" w:cs="宋体"/>
          <w:color w:val="auto"/>
          <w:sz w:val="21"/>
          <w:szCs w:val="21"/>
        </w:rPr>
        <w:t>本公司政府补助详见附注十一、政府补助涉及政府补助的负债项目。</w:t>
      </w:r>
    </w:p>
    <w:p w14:paraId="7E0792B9">
      <w:pPr>
        <w:keepNext/>
        <w:keepLines/>
        <w:spacing w:before="300" w:after="300" w:line="280" w:lineRule="exact"/>
        <w:jc w:val="left"/>
        <w:outlineLvl w:val="2"/>
        <w:rPr>
          <w:rFonts w:ascii="宋体" w:hAnsi="宋体" w:eastAsia="宋体" w:cs="宋体"/>
          <w:b/>
          <w:bCs/>
          <w:color w:val="auto"/>
          <w:sz w:val="21"/>
          <w:szCs w:val="21"/>
        </w:rPr>
      </w:pPr>
      <w:bookmarkStart w:id="251" w:name="_Toc989227"/>
      <w:r>
        <w:rPr>
          <w:rFonts w:ascii="宋体" w:hAnsi="宋体" w:eastAsia="宋体" w:cs="宋体"/>
          <w:b/>
          <w:bCs/>
          <w:color w:val="auto"/>
          <w:sz w:val="21"/>
          <w:szCs w:val="21"/>
        </w:rPr>
        <w:t>52、其他非流动负债</w:t>
      </w:r>
      <w:bookmarkEnd w:id="251"/>
    </w:p>
    <w:p w14:paraId="5DE6186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0A16E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88A25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2B3C8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55F9C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5057A3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DF0DAD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股权回购义务</w:t>
            </w:r>
          </w:p>
        </w:tc>
        <w:tc>
          <w:tcPr>
            <w:tcW w:w="3213" w:type="dxa"/>
            <w:tcBorders>
              <w:top w:val="single" w:color="auto" w:sz="2" w:space="0"/>
              <w:left w:val="single" w:color="auto" w:sz="2" w:space="0"/>
              <w:bottom w:val="single" w:color="auto" w:sz="2" w:space="0"/>
              <w:right w:val="single" w:color="auto" w:sz="2" w:space="0"/>
            </w:tcBorders>
            <w:vAlign w:val="center"/>
          </w:tcPr>
          <w:p w14:paraId="2A180A3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264,048,888.89</w:t>
            </w:r>
          </w:p>
        </w:tc>
        <w:tc>
          <w:tcPr>
            <w:tcW w:w="3213" w:type="dxa"/>
            <w:tcBorders>
              <w:top w:val="single" w:color="auto" w:sz="2" w:space="0"/>
              <w:left w:val="single" w:color="auto" w:sz="2" w:space="0"/>
              <w:bottom w:val="single" w:color="auto" w:sz="2" w:space="0"/>
              <w:right w:val="single" w:color="auto" w:sz="2" w:space="0"/>
            </w:tcBorders>
            <w:vAlign w:val="center"/>
          </w:tcPr>
          <w:p w14:paraId="5730C32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255,200,000.00</w:t>
            </w:r>
          </w:p>
        </w:tc>
      </w:tr>
      <w:tr w14:paraId="44926C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74BB8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36528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264,048,888.89</w:t>
            </w:r>
          </w:p>
        </w:tc>
        <w:tc>
          <w:tcPr>
            <w:tcW w:w="3213" w:type="dxa"/>
            <w:tcBorders>
              <w:top w:val="single" w:color="auto" w:sz="2" w:space="0"/>
              <w:left w:val="single" w:color="auto" w:sz="2" w:space="0"/>
              <w:bottom w:val="single" w:color="auto" w:sz="2" w:space="0"/>
              <w:right w:val="single" w:color="auto" w:sz="2" w:space="0"/>
            </w:tcBorders>
            <w:vAlign w:val="center"/>
          </w:tcPr>
          <w:p w14:paraId="3BAF82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255,200,000.00</w:t>
            </w:r>
          </w:p>
        </w:tc>
      </w:tr>
    </w:tbl>
    <w:p w14:paraId="3B7EA2E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774C662">
      <w:pPr>
        <w:keepNext/>
        <w:keepLines/>
        <w:spacing w:before="300" w:after="300" w:line="280" w:lineRule="exact"/>
        <w:jc w:val="left"/>
        <w:outlineLvl w:val="2"/>
        <w:rPr>
          <w:rFonts w:ascii="宋体" w:hAnsi="宋体" w:eastAsia="宋体" w:cs="宋体"/>
          <w:b/>
          <w:bCs/>
          <w:color w:val="auto"/>
          <w:sz w:val="21"/>
          <w:szCs w:val="21"/>
        </w:rPr>
      </w:pPr>
      <w:bookmarkStart w:id="252" w:name="_Toc989228"/>
      <w:r>
        <w:rPr>
          <w:rFonts w:ascii="宋体" w:hAnsi="宋体" w:eastAsia="宋体" w:cs="宋体"/>
          <w:b/>
          <w:bCs/>
          <w:color w:val="auto"/>
          <w:sz w:val="21"/>
          <w:szCs w:val="21"/>
        </w:rPr>
        <w:t>53、股本</w:t>
      </w:r>
      <w:bookmarkEnd w:id="252"/>
    </w:p>
    <w:p w14:paraId="278B098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5"/>
        <w:gridCol w:w="1205"/>
        <w:gridCol w:w="1205"/>
        <w:gridCol w:w="1205"/>
        <w:gridCol w:w="1205"/>
        <w:gridCol w:w="1205"/>
        <w:gridCol w:w="1205"/>
        <w:gridCol w:w="1205"/>
      </w:tblGrid>
      <w:tr w14:paraId="27405F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0767C11">
            <w:pPr>
              <w:rPr>
                <w:color w:val="auto"/>
              </w:rPr>
            </w:pP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12E443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6024"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DC5E8A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本次变动增减（+、-）</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D0CD1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7592AF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CAD0DB3">
            <w:pPr>
              <w:rPr>
                <w:color w:val="auto"/>
              </w:rPr>
            </w:pP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EE6041">
            <w:pPr>
              <w:rPr>
                <w:color w:val="auto"/>
              </w:rPr>
            </w:pP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28D5D47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发行新股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00102B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送股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972DB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公积金转股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70ED31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198A37E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小计</w:t>
            </w: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09146A7">
            <w:pPr>
              <w:rPr>
                <w:color w:val="auto"/>
              </w:rPr>
            </w:pPr>
          </w:p>
        </w:tc>
      </w:tr>
      <w:tr w14:paraId="338D6E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D06186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股份总数</w:t>
            </w:r>
          </w:p>
        </w:tc>
        <w:tc>
          <w:tcPr>
            <w:tcW w:w="1205" w:type="dxa"/>
            <w:tcBorders>
              <w:top w:val="single" w:color="auto" w:sz="2" w:space="0"/>
              <w:left w:val="single" w:color="auto" w:sz="2" w:space="0"/>
              <w:bottom w:val="single" w:color="auto" w:sz="2" w:space="0"/>
              <w:right w:val="single" w:color="auto" w:sz="2" w:space="0"/>
            </w:tcBorders>
            <w:vAlign w:val="center"/>
          </w:tcPr>
          <w:p w14:paraId="3C4B0AB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c>
          <w:tcPr>
            <w:tcW w:w="1205" w:type="dxa"/>
            <w:tcBorders>
              <w:top w:val="single" w:color="auto" w:sz="2" w:space="0"/>
              <w:left w:val="single" w:color="auto" w:sz="2" w:space="0"/>
              <w:bottom w:val="single" w:color="auto" w:sz="2" w:space="0"/>
              <w:right w:val="single" w:color="auto" w:sz="2" w:space="0"/>
            </w:tcBorders>
            <w:vAlign w:val="center"/>
          </w:tcPr>
          <w:p w14:paraId="09769FF6">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8D5E0B4">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C73FBB2">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EEAF318">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22D09FD">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F35749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159,267,000.00</w:t>
            </w:r>
          </w:p>
        </w:tc>
      </w:tr>
    </w:tbl>
    <w:p w14:paraId="2CB2660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1FD6D83">
      <w:pPr>
        <w:keepNext/>
        <w:keepLines/>
        <w:spacing w:before="300" w:after="300" w:line="280" w:lineRule="exact"/>
        <w:jc w:val="left"/>
        <w:outlineLvl w:val="2"/>
        <w:rPr>
          <w:rFonts w:ascii="宋体" w:hAnsi="宋体" w:eastAsia="宋体" w:cs="宋体"/>
          <w:b/>
          <w:bCs/>
          <w:color w:val="auto"/>
          <w:sz w:val="21"/>
          <w:szCs w:val="21"/>
        </w:rPr>
      </w:pPr>
      <w:bookmarkStart w:id="253" w:name="_Toc989229"/>
      <w:r>
        <w:rPr>
          <w:rFonts w:ascii="宋体" w:hAnsi="宋体" w:eastAsia="宋体" w:cs="宋体"/>
          <w:b/>
          <w:bCs/>
          <w:color w:val="auto"/>
          <w:sz w:val="21"/>
          <w:szCs w:val="21"/>
        </w:rPr>
        <w:t>54、其他权益工具</w:t>
      </w:r>
      <w:bookmarkEnd w:id="253"/>
    </w:p>
    <w:p w14:paraId="56064672">
      <w:pPr>
        <w:keepNext/>
        <w:keepLines/>
        <w:spacing w:before="300" w:after="300" w:line="280" w:lineRule="exact"/>
        <w:jc w:val="left"/>
        <w:outlineLvl w:val="3"/>
        <w:rPr>
          <w:rFonts w:ascii="宋体" w:hAnsi="宋体" w:eastAsia="宋体" w:cs="宋体"/>
          <w:b/>
          <w:bCs/>
          <w:color w:val="auto"/>
          <w:sz w:val="18"/>
          <w:szCs w:val="18"/>
        </w:rPr>
      </w:pPr>
      <w:bookmarkStart w:id="254" w:name="_Toc989230"/>
      <w:r>
        <w:rPr>
          <w:rFonts w:ascii="宋体" w:hAnsi="宋体" w:eastAsia="宋体" w:cs="宋体"/>
          <w:b/>
          <w:bCs/>
          <w:color w:val="auto"/>
          <w:sz w:val="18"/>
          <w:szCs w:val="18"/>
        </w:rPr>
        <w:t>（1）期末发行在外的优先股、永续债等其他金融工具基本情况</w:t>
      </w:r>
      <w:bookmarkEnd w:id="254"/>
    </w:p>
    <w:p w14:paraId="284F7253">
      <w:pPr>
        <w:keepNext/>
        <w:keepLines/>
        <w:spacing w:before="300" w:after="300" w:line="280" w:lineRule="exact"/>
        <w:jc w:val="left"/>
        <w:outlineLvl w:val="3"/>
        <w:rPr>
          <w:rFonts w:ascii="宋体" w:hAnsi="宋体" w:eastAsia="宋体" w:cs="宋体"/>
          <w:b/>
          <w:bCs/>
          <w:color w:val="auto"/>
          <w:sz w:val="18"/>
          <w:szCs w:val="18"/>
        </w:rPr>
      </w:pPr>
      <w:bookmarkStart w:id="255" w:name="_Toc989231"/>
      <w:r>
        <w:rPr>
          <w:rFonts w:ascii="宋体" w:hAnsi="宋体" w:eastAsia="宋体" w:cs="宋体"/>
          <w:b/>
          <w:bCs/>
          <w:color w:val="auto"/>
          <w:sz w:val="18"/>
          <w:szCs w:val="18"/>
        </w:rPr>
        <w:t>（2）期末发行在外的优先股、永续债等金融工具变动情况表</w:t>
      </w:r>
      <w:bookmarkEnd w:id="255"/>
    </w:p>
    <w:p w14:paraId="647E4DC2">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6F5F63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C0548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发行在外的金融工具</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983CDC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A302D6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AECE5C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9F1C82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w:t>
            </w:r>
          </w:p>
        </w:tc>
      </w:tr>
      <w:tr w14:paraId="1C910C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8C86CE1">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44F3B9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E51168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27F8CF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D5D415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ADE2F1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3928F6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9A4E4D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数量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4A5B7D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bl>
    <w:p w14:paraId="44BE739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其他权益工具本期增减变动情况、变动原因说明，以及相关会计处理的依据：</w:t>
      </w:r>
    </w:p>
    <w:p w14:paraId="3549BE3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07CC74A">
      <w:pPr>
        <w:keepNext/>
        <w:keepLines/>
        <w:spacing w:before="300" w:after="300" w:line="280" w:lineRule="exact"/>
        <w:jc w:val="left"/>
        <w:outlineLvl w:val="2"/>
        <w:rPr>
          <w:rFonts w:ascii="宋体" w:hAnsi="宋体" w:eastAsia="宋体" w:cs="宋体"/>
          <w:b/>
          <w:bCs/>
          <w:color w:val="auto"/>
          <w:sz w:val="21"/>
          <w:szCs w:val="21"/>
        </w:rPr>
      </w:pPr>
      <w:bookmarkStart w:id="256" w:name="_Toc989232"/>
      <w:r>
        <w:rPr>
          <w:rFonts w:ascii="宋体" w:hAnsi="宋体" w:eastAsia="宋体" w:cs="宋体"/>
          <w:b/>
          <w:bCs/>
          <w:color w:val="auto"/>
          <w:sz w:val="21"/>
          <w:szCs w:val="21"/>
        </w:rPr>
        <w:t>55、资本公积</w:t>
      </w:r>
      <w:bookmarkEnd w:id="256"/>
    </w:p>
    <w:p w14:paraId="1A7DB16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307AB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DDAD24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3402E0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7F49C1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0FE0A8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14736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7304A0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79CC9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资本溢价（股本溢价）</w:t>
            </w:r>
          </w:p>
        </w:tc>
        <w:tc>
          <w:tcPr>
            <w:tcW w:w="1928" w:type="dxa"/>
            <w:tcBorders>
              <w:top w:val="single" w:color="auto" w:sz="2" w:space="0"/>
              <w:left w:val="single" w:color="auto" w:sz="2" w:space="0"/>
              <w:bottom w:val="single" w:color="auto" w:sz="2" w:space="0"/>
              <w:right w:val="single" w:color="auto" w:sz="2" w:space="0"/>
            </w:tcBorders>
            <w:vAlign w:val="center"/>
          </w:tcPr>
          <w:p w14:paraId="382E637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604,678,115.18</w:t>
            </w:r>
          </w:p>
        </w:tc>
        <w:tc>
          <w:tcPr>
            <w:tcW w:w="1928" w:type="dxa"/>
            <w:tcBorders>
              <w:top w:val="single" w:color="auto" w:sz="2" w:space="0"/>
              <w:left w:val="single" w:color="auto" w:sz="2" w:space="0"/>
              <w:bottom w:val="single" w:color="auto" w:sz="2" w:space="0"/>
              <w:right w:val="single" w:color="auto" w:sz="2" w:space="0"/>
            </w:tcBorders>
            <w:vAlign w:val="center"/>
          </w:tcPr>
          <w:p w14:paraId="35D10F1B">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1843FBD">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4710F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604,678,115.18</w:t>
            </w:r>
          </w:p>
        </w:tc>
      </w:tr>
      <w:tr w14:paraId="15ADD9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C3D14D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其他资本公积</w:t>
            </w:r>
          </w:p>
        </w:tc>
        <w:tc>
          <w:tcPr>
            <w:tcW w:w="1928" w:type="dxa"/>
            <w:tcBorders>
              <w:top w:val="single" w:color="auto" w:sz="2" w:space="0"/>
              <w:left w:val="single" w:color="auto" w:sz="2" w:space="0"/>
              <w:bottom w:val="single" w:color="auto" w:sz="2" w:space="0"/>
              <w:right w:val="single" w:color="auto" w:sz="2" w:space="0"/>
            </w:tcBorders>
            <w:vAlign w:val="center"/>
          </w:tcPr>
          <w:p w14:paraId="497C22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3,247,779.30</w:t>
            </w:r>
          </w:p>
        </w:tc>
        <w:tc>
          <w:tcPr>
            <w:tcW w:w="1928" w:type="dxa"/>
            <w:tcBorders>
              <w:top w:val="single" w:color="auto" w:sz="2" w:space="0"/>
              <w:left w:val="single" w:color="auto" w:sz="2" w:space="0"/>
              <w:bottom w:val="single" w:color="auto" w:sz="2" w:space="0"/>
              <w:right w:val="single" w:color="auto" w:sz="2" w:space="0"/>
            </w:tcBorders>
            <w:vAlign w:val="center"/>
          </w:tcPr>
          <w:p w14:paraId="3DDAB582">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9E41B6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754,716.98</w:t>
            </w:r>
          </w:p>
        </w:tc>
        <w:tc>
          <w:tcPr>
            <w:tcW w:w="1928" w:type="dxa"/>
            <w:tcBorders>
              <w:top w:val="single" w:color="auto" w:sz="2" w:space="0"/>
              <w:left w:val="single" w:color="auto" w:sz="2" w:space="0"/>
              <w:bottom w:val="single" w:color="auto" w:sz="2" w:space="0"/>
              <w:right w:val="single" w:color="auto" w:sz="2" w:space="0"/>
            </w:tcBorders>
            <w:vAlign w:val="center"/>
          </w:tcPr>
          <w:p w14:paraId="10211AB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2,493,062.32</w:t>
            </w:r>
          </w:p>
        </w:tc>
      </w:tr>
      <w:tr w14:paraId="40B2B3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38519A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5E78428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607,925,894.48</w:t>
            </w:r>
          </w:p>
        </w:tc>
        <w:tc>
          <w:tcPr>
            <w:tcW w:w="1928" w:type="dxa"/>
            <w:tcBorders>
              <w:top w:val="single" w:color="auto" w:sz="2" w:space="0"/>
              <w:left w:val="single" w:color="auto" w:sz="2" w:space="0"/>
              <w:bottom w:val="single" w:color="auto" w:sz="2" w:space="0"/>
              <w:right w:val="single" w:color="auto" w:sz="2" w:space="0"/>
            </w:tcBorders>
            <w:vAlign w:val="center"/>
          </w:tcPr>
          <w:p w14:paraId="6CFA3D34">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66BF9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754,716.98</w:t>
            </w:r>
          </w:p>
        </w:tc>
        <w:tc>
          <w:tcPr>
            <w:tcW w:w="1928" w:type="dxa"/>
            <w:tcBorders>
              <w:top w:val="single" w:color="auto" w:sz="2" w:space="0"/>
              <w:left w:val="single" w:color="auto" w:sz="2" w:space="0"/>
              <w:bottom w:val="single" w:color="auto" w:sz="2" w:space="0"/>
              <w:right w:val="single" w:color="auto" w:sz="2" w:space="0"/>
            </w:tcBorders>
            <w:vAlign w:val="center"/>
          </w:tcPr>
          <w:p w14:paraId="7C0E10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607,171,177.50</w:t>
            </w:r>
          </w:p>
        </w:tc>
      </w:tr>
    </w:tbl>
    <w:p w14:paraId="43F7955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其他说明，包括本期增减变动情况、变动原因说明：</w:t>
      </w:r>
    </w:p>
    <w:p w14:paraId="4083F01F">
      <w:pPr>
        <w:pStyle w:val="4"/>
        <w:keepNext w:val="0"/>
        <w:keepLines w:val="0"/>
        <w:widowControl/>
        <w:suppressLineNumbers w:val="0"/>
        <w:rPr>
          <w:color w:val="auto"/>
        </w:rPr>
      </w:pPr>
      <w:r>
        <w:rPr>
          <w:rFonts w:hint="eastAsia" w:ascii="宋体" w:hAnsi="宋体" w:eastAsia="宋体" w:cs="宋体"/>
          <w:color w:val="auto"/>
          <w:sz w:val="18"/>
          <w:szCs w:val="18"/>
        </w:rPr>
        <w:t>其他资本公积减少是由于支付再融资保荐费用。</w:t>
      </w:r>
    </w:p>
    <w:p w14:paraId="79780E59">
      <w:pPr>
        <w:keepNext/>
        <w:keepLines/>
        <w:spacing w:before="300" w:after="300" w:line="280" w:lineRule="exact"/>
        <w:jc w:val="left"/>
        <w:outlineLvl w:val="2"/>
        <w:rPr>
          <w:rFonts w:ascii="宋体" w:hAnsi="宋体" w:eastAsia="宋体" w:cs="宋体"/>
          <w:b/>
          <w:bCs/>
          <w:color w:val="auto"/>
          <w:sz w:val="21"/>
          <w:szCs w:val="21"/>
        </w:rPr>
      </w:pPr>
      <w:bookmarkStart w:id="257" w:name="_Toc989233"/>
      <w:r>
        <w:rPr>
          <w:rFonts w:ascii="宋体" w:hAnsi="宋体" w:eastAsia="宋体" w:cs="宋体"/>
          <w:b/>
          <w:bCs/>
          <w:color w:val="auto"/>
          <w:sz w:val="21"/>
          <w:szCs w:val="21"/>
        </w:rPr>
        <w:t>56、库存股</w:t>
      </w:r>
      <w:bookmarkEnd w:id="257"/>
    </w:p>
    <w:p w14:paraId="2389080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A8B18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63385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8E776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4C2CB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F0CA8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375AFC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bl>
    <w:p w14:paraId="5AA1B1B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其他说明，包括本期增减变动情况、变动原因说明：</w:t>
      </w:r>
    </w:p>
    <w:p w14:paraId="390D3ECD">
      <w:pPr>
        <w:keepNext/>
        <w:keepLines/>
        <w:spacing w:before="300" w:after="300" w:line="280" w:lineRule="exact"/>
        <w:jc w:val="left"/>
        <w:outlineLvl w:val="2"/>
        <w:rPr>
          <w:rFonts w:ascii="宋体" w:hAnsi="宋体" w:eastAsia="宋体" w:cs="宋体"/>
          <w:b/>
          <w:bCs/>
          <w:color w:val="auto"/>
          <w:sz w:val="21"/>
          <w:szCs w:val="21"/>
        </w:rPr>
      </w:pPr>
      <w:bookmarkStart w:id="258" w:name="_Toc989234"/>
      <w:r>
        <w:rPr>
          <w:rFonts w:ascii="宋体" w:hAnsi="宋体" w:eastAsia="宋体" w:cs="宋体"/>
          <w:b/>
          <w:bCs/>
          <w:color w:val="auto"/>
          <w:sz w:val="21"/>
          <w:szCs w:val="21"/>
        </w:rPr>
        <w:t>57、其他综合收益</w:t>
      </w:r>
      <w:bookmarkEnd w:id="258"/>
    </w:p>
    <w:p w14:paraId="6AEE6D4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4BABC7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B17C8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E9168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6426"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7E01363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98A850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2CD3AF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AFBA6DF">
            <w:pPr>
              <w:rPr>
                <w:color w:val="auto"/>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5ACADDE">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00DB9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本期所得税前发生额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5CC45C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减：前期计入其他综合收益当期转入损益</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030B23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减：前期计入其他综合收益当期转入留存收益</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537841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减：所得税费用</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327840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税后归属于母公司</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597250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税后归属于少数股东</w:t>
            </w: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AFB899">
            <w:pPr>
              <w:rPr>
                <w:color w:val="auto"/>
              </w:rPr>
            </w:pPr>
          </w:p>
        </w:tc>
      </w:tr>
    </w:tbl>
    <w:p w14:paraId="5BCD588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其他说明，包括对现金流量套期损益的有效部分转为被套期项目初始确认金额调整：</w:t>
      </w:r>
    </w:p>
    <w:p w14:paraId="6A233B48">
      <w:pPr>
        <w:keepNext/>
        <w:keepLines/>
        <w:spacing w:before="300" w:after="300" w:line="280" w:lineRule="exact"/>
        <w:jc w:val="left"/>
        <w:outlineLvl w:val="2"/>
        <w:rPr>
          <w:rFonts w:ascii="宋体" w:hAnsi="宋体" w:eastAsia="宋体" w:cs="宋体"/>
          <w:b/>
          <w:bCs/>
          <w:color w:val="auto"/>
          <w:sz w:val="21"/>
          <w:szCs w:val="21"/>
        </w:rPr>
      </w:pPr>
      <w:bookmarkStart w:id="259" w:name="_Toc989235"/>
      <w:r>
        <w:rPr>
          <w:rFonts w:ascii="宋体" w:hAnsi="宋体" w:eastAsia="宋体" w:cs="宋体"/>
          <w:b/>
          <w:bCs/>
          <w:color w:val="auto"/>
          <w:sz w:val="21"/>
          <w:szCs w:val="21"/>
        </w:rPr>
        <w:t>58、专项储备</w:t>
      </w:r>
      <w:bookmarkEnd w:id="259"/>
    </w:p>
    <w:p w14:paraId="28AC86A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042F0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83C384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22EB8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C7904E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937AD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1FBB04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bl>
    <w:p w14:paraId="74392BA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其他说明，包括本期增减变动情况、变动原因说明：</w:t>
      </w:r>
    </w:p>
    <w:p w14:paraId="2380DC65">
      <w:pPr>
        <w:keepNext/>
        <w:keepLines/>
        <w:spacing w:before="300" w:after="300" w:line="280" w:lineRule="exact"/>
        <w:jc w:val="left"/>
        <w:outlineLvl w:val="2"/>
        <w:rPr>
          <w:rFonts w:ascii="宋体" w:hAnsi="宋体" w:eastAsia="宋体" w:cs="宋体"/>
          <w:b/>
          <w:bCs/>
          <w:color w:val="auto"/>
          <w:sz w:val="21"/>
          <w:szCs w:val="21"/>
        </w:rPr>
      </w:pPr>
      <w:bookmarkStart w:id="260" w:name="_Toc989236"/>
      <w:r>
        <w:rPr>
          <w:rFonts w:ascii="宋体" w:hAnsi="宋体" w:eastAsia="宋体" w:cs="宋体"/>
          <w:b/>
          <w:bCs/>
          <w:color w:val="auto"/>
          <w:sz w:val="21"/>
          <w:szCs w:val="21"/>
        </w:rPr>
        <w:t>59、盈余公积</w:t>
      </w:r>
      <w:bookmarkEnd w:id="260"/>
    </w:p>
    <w:p w14:paraId="1F85572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B4D5A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F0194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038964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325ED7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73CCA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AD42FB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39CA29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BE7B1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法定盈余公积</w:t>
            </w:r>
          </w:p>
        </w:tc>
        <w:tc>
          <w:tcPr>
            <w:tcW w:w="1928" w:type="dxa"/>
            <w:tcBorders>
              <w:top w:val="single" w:color="auto" w:sz="2" w:space="0"/>
              <w:left w:val="single" w:color="auto" w:sz="2" w:space="0"/>
              <w:bottom w:val="single" w:color="auto" w:sz="2" w:space="0"/>
              <w:right w:val="single" w:color="auto" w:sz="2" w:space="0"/>
            </w:tcBorders>
            <w:vAlign w:val="center"/>
          </w:tcPr>
          <w:p w14:paraId="36267CC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1928" w:type="dxa"/>
            <w:tcBorders>
              <w:top w:val="single" w:color="auto" w:sz="2" w:space="0"/>
              <w:left w:val="single" w:color="auto" w:sz="2" w:space="0"/>
              <w:bottom w:val="single" w:color="auto" w:sz="2" w:space="0"/>
              <w:right w:val="single" w:color="auto" w:sz="2" w:space="0"/>
            </w:tcBorders>
            <w:vAlign w:val="center"/>
          </w:tcPr>
          <w:p w14:paraId="3ABD9386">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FAD811D">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5506D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r>
      <w:tr w14:paraId="0F95AB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EB82E7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470388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c>
          <w:tcPr>
            <w:tcW w:w="1928" w:type="dxa"/>
            <w:tcBorders>
              <w:top w:val="single" w:color="auto" w:sz="2" w:space="0"/>
              <w:left w:val="single" w:color="auto" w:sz="2" w:space="0"/>
              <w:bottom w:val="single" w:color="auto" w:sz="2" w:space="0"/>
              <w:right w:val="single" w:color="auto" w:sz="2" w:space="0"/>
            </w:tcBorders>
            <w:vAlign w:val="center"/>
          </w:tcPr>
          <w:p w14:paraId="5FD6D258">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9B598CA">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309F6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44,393,833.31</w:t>
            </w:r>
          </w:p>
        </w:tc>
      </w:tr>
    </w:tbl>
    <w:p w14:paraId="4D630F7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盈余公积说明，包括本期增减变动情况、变动原因说明：</w:t>
      </w:r>
    </w:p>
    <w:p w14:paraId="6558FFB7">
      <w:pPr>
        <w:keepNext/>
        <w:keepLines/>
        <w:spacing w:before="300" w:after="300" w:line="280" w:lineRule="exact"/>
        <w:jc w:val="left"/>
        <w:outlineLvl w:val="2"/>
        <w:rPr>
          <w:rFonts w:ascii="宋体" w:hAnsi="宋体" w:eastAsia="宋体" w:cs="宋体"/>
          <w:b/>
          <w:bCs/>
          <w:color w:val="auto"/>
          <w:sz w:val="21"/>
          <w:szCs w:val="21"/>
        </w:rPr>
      </w:pPr>
      <w:bookmarkStart w:id="261" w:name="_Toc989237"/>
      <w:r>
        <w:rPr>
          <w:rFonts w:ascii="宋体" w:hAnsi="宋体" w:eastAsia="宋体" w:cs="宋体"/>
          <w:b/>
          <w:bCs/>
          <w:color w:val="auto"/>
          <w:sz w:val="21"/>
          <w:szCs w:val="21"/>
        </w:rPr>
        <w:t>60、未分配利润</w:t>
      </w:r>
      <w:bookmarkEnd w:id="261"/>
    </w:p>
    <w:p w14:paraId="3475A9E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094C6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81751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848F0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27A13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w:t>
            </w:r>
          </w:p>
        </w:tc>
      </w:tr>
      <w:tr w14:paraId="6179EF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5042C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调整前上期末未分配利润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67ED6CD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-451,407,904.07</w:t>
            </w:r>
          </w:p>
        </w:tc>
        <w:tc>
          <w:tcPr>
            <w:tcW w:w="3213" w:type="dxa"/>
            <w:tcBorders>
              <w:top w:val="single" w:color="auto" w:sz="2" w:space="0"/>
              <w:left w:val="single" w:color="auto" w:sz="2" w:space="0"/>
              <w:bottom w:val="single" w:color="auto" w:sz="2" w:space="0"/>
              <w:right w:val="single" w:color="auto" w:sz="2" w:space="0"/>
            </w:tcBorders>
            <w:vAlign w:val="center"/>
          </w:tcPr>
          <w:p w14:paraId="39B9F0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-295,103,547.33</w:t>
            </w:r>
          </w:p>
        </w:tc>
      </w:tr>
      <w:tr w14:paraId="42681D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12994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调整后期初未分配利润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757725C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-451,407,904.07</w:t>
            </w:r>
          </w:p>
        </w:tc>
        <w:tc>
          <w:tcPr>
            <w:tcW w:w="3213" w:type="dxa"/>
            <w:tcBorders>
              <w:top w:val="single" w:color="auto" w:sz="2" w:space="0"/>
              <w:left w:val="single" w:color="auto" w:sz="2" w:space="0"/>
              <w:bottom w:val="single" w:color="auto" w:sz="2" w:space="0"/>
              <w:right w:val="single" w:color="auto" w:sz="2" w:space="0"/>
            </w:tcBorders>
            <w:vAlign w:val="center"/>
          </w:tcPr>
          <w:p w14:paraId="33592C5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-295,103,547.33</w:t>
            </w:r>
          </w:p>
        </w:tc>
      </w:tr>
      <w:tr w14:paraId="112C89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E7AF3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加：本期归属于母公司所有者的净利润</w:t>
            </w:r>
          </w:p>
        </w:tc>
        <w:tc>
          <w:tcPr>
            <w:tcW w:w="3213" w:type="dxa"/>
            <w:tcBorders>
              <w:top w:val="single" w:color="auto" w:sz="2" w:space="0"/>
              <w:left w:val="single" w:color="auto" w:sz="2" w:space="0"/>
              <w:bottom w:val="single" w:color="auto" w:sz="2" w:space="0"/>
              <w:right w:val="single" w:color="auto" w:sz="2" w:space="0"/>
            </w:tcBorders>
            <w:vAlign w:val="center"/>
          </w:tcPr>
          <w:p w14:paraId="7764D74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-66,688,112.39</w:t>
            </w:r>
          </w:p>
        </w:tc>
        <w:tc>
          <w:tcPr>
            <w:tcW w:w="3213" w:type="dxa"/>
            <w:tcBorders>
              <w:top w:val="single" w:color="auto" w:sz="2" w:space="0"/>
              <w:left w:val="single" w:color="auto" w:sz="2" w:space="0"/>
              <w:bottom w:val="single" w:color="auto" w:sz="2" w:space="0"/>
              <w:right w:val="single" w:color="auto" w:sz="2" w:space="0"/>
            </w:tcBorders>
            <w:vAlign w:val="center"/>
          </w:tcPr>
          <w:p w14:paraId="5BDD988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-156,304,356.74</w:t>
            </w:r>
          </w:p>
        </w:tc>
      </w:tr>
      <w:tr w14:paraId="5B550A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E0534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期末未分配利润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1E74BF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-518,096,016.46</w:t>
            </w:r>
          </w:p>
        </w:tc>
        <w:tc>
          <w:tcPr>
            <w:tcW w:w="3213" w:type="dxa"/>
            <w:tcBorders>
              <w:top w:val="single" w:color="auto" w:sz="2" w:space="0"/>
              <w:left w:val="single" w:color="auto" w:sz="2" w:space="0"/>
              <w:bottom w:val="single" w:color="auto" w:sz="2" w:space="0"/>
              <w:right w:val="single" w:color="auto" w:sz="2" w:space="0"/>
            </w:tcBorders>
            <w:vAlign w:val="center"/>
          </w:tcPr>
          <w:p w14:paraId="33A143A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-451,407,904.07</w:t>
            </w:r>
          </w:p>
        </w:tc>
      </w:tr>
    </w:tbl>
    <w:p w14:paraId="74CBE03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调整期初未分配利润明细：</w:t>
      </w:r>
    </w:p>
    <w:p w14:paraId="56D0E20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1)、由于《企业会计准则》及其相关新规定进行追溯调整，影响期初未分配利润元。</w:t>
      </w:r>
    </w:p>
    <w:p w14:paraId="63DC7EF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2)、由于会计政策变更，影响期初未分配利润元。</w:t>
      </w:r>
    </w:p>
    <w:p w14:paraId="35B4DC8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3)、由于重大会计差错更正，影响期初未分配利润元。</w:t>
      </w:r>
    </w:p>
    <w:p w14:paraId="4918B03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4)、由于同一控制导致的合并范围变更，影响期初未分配利润元。</w:t>
      </w:r>
    </w:p>
    <w:p w14:paraId="7FF66AE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5)、其他调整合计影响期初未分配利润元。</w:t>
      </w:r>
    </w:p>
    <w:p w14:paraId="4B7A45EC">
      <w:pPr>
        <w:keepNext/>
        <w:keepLines/>
        <w:spacing w:before="300" w:after="300" w:line="280" w:lineRule="exact"/>
        <w:jc w:val="left"/>
        <w:outlineLvl w:val="2"/>
        <w:rPr>
          <w:rFonts w:ascii="宋体" w:hAnsi="宋体" w:eastAsia="宋体" w:cs="宋体"/>
          <w:b/>
          <w:bCs/>
          <w:color w:val="auto"/>
          <w:sz w:val="21"/>
          <w:szCs w:val="21"/>
        </w:rPr>
      </w:pPr>
      <w:bookmarkStart w:id="262" w:name="_Toc989238"/>
      <w:r>
        <w:rPr>
          <w:rFonts w:ascii="宋体" w:hAnsi="宋体" w:eastAsia="宋体" w:cs="宋体"/>
          <w:b/>
          <w:bCs/>
          <w:color w:val="auto"/>
          <w:sz w:val="21"/>
          <w:szCs w:val="21"/>
        </w:rPr>
        <w:t>61、营业收入和营业成本</w:t>
      </w:r>
      <w:bookmarkEnd w:id="262"/>
    </w:p>
    <w:p w14:paraId="386F4AE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472C9F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185BC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797F66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D0DC5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1A183D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173C4AC">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F2EFD3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17D438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成本</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63EFE7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F1893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成本</w:t>
            </w:r>
          </w:p>
        </w:tc>
      </w:tr>
      <w:tr w14:paraId="14EF67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EA7D8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主营业务</w:t>
            </w:r>
          </w:p>
        </w:tc>
        <w:tc>
          <w:tcPr>
            <w:tcW w:w="1928" w:type="dxa"/>
            <w:tcBorders>
              <w:top w:val="single" w:color="auto" w:sz="2" w:space="0"/>
              <w:left w:val="single" w:color="auto" w:sz="2" w:space="0"/>
              <w:bottom w:val="single" w:color="auto" w:sz="2" w:space="0"/>
              <w:right w:val="single" w:color="auto" w:sz="2" w:space="0"/>
            </w:tcBorders>
            <w:vAlign w:val="center"/>
          </w:tcPr>
          <w:p w14:paraId="5578C15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206,347,019.59</w:t>
            </w:r>
          </w:p>
        </w:tc>
        <w:tc>
          <w:tcPr>
            <w:tcW w:w="1928" w:type="dxa"/>
            <w:tcBorders>
              <w:top w:val="single" w:color="auto" w:sz="2" w:space="0"/>
              <w:left w:val="single" w:color="auto" w:sz="2" w:space="0"/>
              <w:bottom w:val="single" w:color="auto" w:sz="2" w:space="0"/>
              <w:right w:val="single" w:color="auto" w:sz="2" w:space="0"/>
            </w:tcBorders>
            <w:vAlign w:val="center"/>
          </w:tcPr>
          <w:p w14:paraId="2414278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79,278,169.00</w:t>
            </w:r>
          </w:p>
        </w:tc>
        <w:tc>
          <w:tcPr>
            <w:tcW w:w="1928" w:type="dxa"/>
            <w:tcBorders>
              <w:top w:val="single" w:color="auto" w:sz="2" w:space="0"/>
              <w:left w:val="single" w:color="auto" w:sz="2" w:space="0"/>
              <w:bottom w:val="single" w:color="auto" w:sz="2" w:space="0"/>
              <w:right w:val="single" w:color="auto" w:sz="2" w:space="0"/>
            </w:tcBorders>
            <w:vAlign w:val="center"/>
          </w:tcPr>
          <w:p w14:paraId="7428A8A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215,945,563.80</w:t>
            </w:r>
          </w:p>
        </w:tc>
        <w:tc>
          <w:tcPr>
            <w:tcW w:w="1928" w:type="dxa"/>
            <w:tcBorders>
              <w:top w:val="single" w:color="auto" w:sz="2" w:space="0"/>
              <w:left w:val="single" w:color="auto" w:sz="2" w:space="0"/>
              <w:bottom w:val="single" w:color="auto" w:sz="2" w:space="0"/>
              <w:right w:val="single" w:color="auto" w:sz="2" w:space="0"/>
            </w:tcBorders>
            <w:vAlign w:val="center"/>
          </w:tcPr>
          <w:p w14:paraId="32685F1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83,002,956.44</w:t>
            </w:r>
          </w:p>
        </w:tc>
      </w:tr>
      <w:tr w14:paraId="58B8B3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7F695E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其他业务</w:t>
            </w:r>
          </w:p>
        </w:tc>
        <w:tc>
          <w:tcPr>
            <w:tcW w:w="1928" w:type="dxa"/>
            <w:tcBorders>
              <w:top w:val="single" w:color="auto" w:sz="2" w:space="0"/>
              <w:left w:val="single" w:color="auto" w:sz="2" w:space="0"/>
              <w:bottom w:val="single" w:color="auto" w:sz="2" w:space="0"/>
              <w:right w:val="single" w:color="auto" w:sz="2" w:space="0"/>
            </w:tcBorders>
            <w:vAlign w:val="center"/>
          </w:tcPr>
          <w:p w14:paraId="58AE978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2,510,570.85</w:t>
            </w:r>
          </w:p>
        </w:tc>
        <w:tc>
          <w:tcPr>
            <w:tcW w:w="1928" w:type="dxa"/>
            <w:tcBorders>
              <w:top w:val="single" w:color="auto" w:sz="2" w:space="0"/>
              <w:left w:val="single" w:color="auto" w:sz="2" w:space="0"/>
              <w:bottom w:val="single" w:color="auto" w:sz="2" w:space="0"/>
              <w:right w:val="single" w:color="auto" w:sz="2" w:space="0"/>
            </w:tcBorders>
            <w:vAlign w:val="center"/>
          </w:tcPr>
          <w:p w14:paraId="5AF34FD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1,996,184.45</w:t>
            </w:r>
          </w:p>
        </w:tc>
        <w:tc>
          <w:tcPr>
            <w:tcW w:w="1928" w:type="dxa"/>
            <w:tcBorders>
              <w:top w:val="single" w:color="auto" w:sz="2" w:space="0"/>
              <w:left w:val="single" w:color="auto" w:sz="2" w:space="0"/>
              <w:bottom w:val="single" w:color="auto" w:sz="2" w:space="0"/>
              <w:right w:val="single" w:color="auto" w:sz="2" w:space="0"/>
            </w:tcBorders>
            <w:vAlign w:val="center"/>
          </w:tcPr>
          <w:p w14:paraId="28E5DC1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2,233,107.71</w:t>
            </w:r>
          </w:p>
        </w:tc>
        <w:tc>
          <w:tcPr>
            <w:tcW w:w="1928" w:type="dxa"/>
            <w:tcBorders>
              <w:top w:val="single" w:color="auto" w:sz="2" w:space="0"/>
              <w:left w:val="single" w:color="auto" w:sz="2" w:space="0"/>
              <w:bottom w:val="single" w:color="auto" w:sz="2" w:space="0"/>
              <w:right w:val="single" w:color="auto" w:sz="2" w:space="0"/>
            </w:tcBorders>
            <w:vAlign w:val="center"/>
          </w:tcPr>
          <w:p w14:paraId="50494AD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1,594,527.97</w:t>
            </w:r>
          </w:p>
        </w:tc>
      </w:tr>
      <w:tr w14:paraId="43FE91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CA8E3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37443DD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208,857,590.44</w:t>
            </w:r>
          </w:p>
        </w:tc>
        <w:tc>
          <w:tcPr>
            <w:tcW w:w="1928" w:type="dxa"/>
            <w:tcBorders>
              <w:top w:val="single" w:color="auto" w:sz="2" w:space="0"/>
              <w:left w:val="single" w:color="auto" w:sz="2" w:space="0"/>
              <w:bottom w:val="single" w:color="auto" w:sz="2" w:space="0"/>
              <w:right w:val="single" w:color="auto" w:sz="2" w:space="0"/>
            </w:tcBorders>
            <w:vAlign w:val="center"/>
          </w:tcPr>
          <w:p w14:paraId="67B50F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81,274,353.45</w:t>
            </w:r>
          </w:p>
        </w:tc>
        <w:tc>
          <w:tcPr>
            <w:tcW w:w="1928" w:type="dxa"/>
            <w:tcBorders>
              <w:top w:val="single" w:color="auto" w:sz="2" w:space="0"/>
              <w:left w:val="single" w:color="auto" w:sz="2" w:space="0"/>
              <w:bottom w:val="single" w:color="auto" w:sz="2" w:space="0"/>
              <w:right w:val="single" w:color="auto" w:sz="2" w:space="0"/>
            </w:tcBorders>
            <w:vAlign w:val="center"/>
          </w:tcPr>
          <w:p w14:paraId="3997D20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218,178,671.51</w:t>
            </w:r>
          </w:p>
        </w:tc>
        <w:tc>
          <w:tcPr>
            <w:tcW w:w="1928" w:type="dxa"/>
            <w:tcBorders>
              <w:top w:val="single" w:color="auto" w:sz="2" w:space="0"/>
              <w:left w:val="single" w:color="auto" w:sz="2" w:space="0"/>
              <w:bottom w:val="single" w:color="auto" w:sz="2" w:space="0"/>
              <w:right w:val="single" w:color="auto" w:sz="2" w:space="0"/>
            </w:tcBorders>
            <w:vAlign w:val="center"/>
          </w:tcPr>
          <w:p w14:paraId="1D1B9CA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84,597,484.41</w:t>
            </w:r>
          </w:p>
        </w:tc>
      </w:tr>
    </w:tbl>
    <w:p w14:paraId="385C73C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营业收入、营业成本的分解信息：</w:t>
      </w:r>
    </w:p>
    <w:p w14:paraId="3674E79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35A9CB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F7A9B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合同分类</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066B7A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分部1</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E8C286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分部2</w:t>
            </w:r>
          </w:p>
        </w:tc>
        <w:tc>
          <w:tcPr>
            <w:tcW w:w="2142" w:type="dxa"/>
            <w:gridSpan w:val="2"/>
            <w:tcBorders>
              <w:top w:val="single" w:color="auto" w:sz="2" w:space="0"/>
              <w:left w:val="single" w:color="auto" w:sz="2" w:space="0"/>
              <w:bottom w:val="single" w:color="auto" w:sz="2" w:space="0"/>
              <w:right w:val="single" w:color="auto" w:sz="2" w:space="0"/>
            </w:tcBorders>
            <w:vAlign w:val="center"/>
          </w:tcPr>
          <w:p w14:paraId="30152DB6">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8ACA19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5526C0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D9661E">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979CCE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2161F8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4D25C9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9272D8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8D1035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7C52B0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3D1ECF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8CEA5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营业成本</w:t>
            </w:r>
          </w:p>
        </w:tc>
      </w:tr>
      <w:tr w14:paraId="2A5F81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5074F2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业务类型</w:t>
            </w:r>
          </w:p>
        </w:tc>
        <w:tc>
          <w:tcPr>
            <w:tcW w:w="1071" w:type="dxa"/>
            <w:tcBorders>
              <w:top w:val="single" w:color="auto" w:sz="2" w:space="0"/>
              <w:left w:val="single" w:color="auto" w:sz="2" w:space="0"/>
              <w:bottom w:val="single" w:color="auto" w:sz="2" w:space="0"/>
              <w:right w:val="single" w:color="auto" w:sz="2" w:space="0"/>
            </w:tcBorders>
            <w:vAlign w:val="center"/>
          </w:tcPr>
          <w:p w14:paraId="036AB91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BA1627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F50EC8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CDB16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2F2691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0C368E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4BBCEA8">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100BF2E">
            <w:pPr>
              <w:spacing w:before="0" w:after="0" w:line="240" w:lineRule="exact"/>
              <w:jc w:val="right"/>
              <w:rPr>
                <w:rFonts w:ascii="宋体" w:hAnsi="宋体" w:eastAsia="宋体" w:cs="宋体"/>
                <w:color w:val="auto"/>
                <w:sz w:val="18"/>
                <w:szCs w:val="18"/>
              </w:rPr>
            </w:pPr>
          </w:p>
        </w:tc>
      </w:tr>
      <w:tr w14:paraId="404E25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F39AF6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D67BDA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4883A2D">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71F410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48F71E5">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B692DCA">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DB76408">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960B88E">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251E11E">
            <w:pPr>
              <w:rPr>
                <w:color w:val="auto"/>
              </w:rPr>
            </w:pPr>
          </w:p>
        </w:tc>
      </w:tr>
      <w:tr w14:paraId="491DDB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FB5D73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医药制造</w:t>
            </w:r>
          </w:p>
        </w:tc>
        <w:tc>
          <w:tcPr>
            <w:tcW w:w="1071" w:type="dxa"/>
            <w:tcBorders>
              <w:top w:val="single" w:color="auto" w:sz="2" w:space="0"/>
              <w:left w:val="single" w:color="auto" w:sz="2" w:space="0"/>
              <w:bottom w:val="single" w:color="auto" w:sz="2" w:space="0"/>
              <w:right w:val="single" w:color="auto" w:sz="2" w:space="0"/>
            </w:tcBorders>
            <w:vAlign w:val="center"/>
          </w:tcPr>
          <w:p w14:paraId="477D6AE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D6A5E1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805B8C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D7287C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564A7F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205,211,539.93</w:t>
            </w:r>
          </w:p>
        </w:tc>
        <w:tc>
          <w:tcPr>
            <w:tcW w:w="1071" w:type="dxa"/>
            <w:tcBorders>
              <w:top w:val="single" w:color="auto" w:sz="2" w:space="0"/>
              <w:left w:val="single" w:color="auto" w:sz="2" w:space="0"/>
              <w:bottom w:val="single" w:color="auto" w:sz="2" w:space="0"/>
              <w:right w:val="single" w:color="auto" w:sz="2" w:space="0"/>
            </w:tcBorders>
            <w:vAlign w:val="center"/>
          </w:tcPr>
          <w:p w14:paraId="7F3C51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77,684,727.10</w:t>
            </w:r>
          </w:p>
        </w:tc>
        <w:tc>
          <w:tcPr>
            <w:tcW w:w="1071" w:type="dxa"/>
            <w:tcBorders>
              <w:top w:val="single" w:color="auto" w:sz="2" w:space="0"/>
              <w:left w:val="single" w:color="auto" w:sz="2" w:space="0"/>
              <w:bottom w:val="single" w:color="auto" w:sz="2" w:space="0"/>
              <w:right w:val="single" w:color="auto" w:sz="2" w:space="0"/>
            </w:tcBorders>
            <w:vAlign w:val="center"/>
          </w:tcPr>
          <w:p w14:paraId="66B44D7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849E519">
            <w:pPr>
              <w:spacing w:before="0" w:after="0" w:line="240" w:lineRule="exact"/>
              <w:jc w:val="right"/>
              <w:rPr>
                <w:rFonts w:ascii="宋体" w:hAnsi="宋体" w:eastAsia="宋体" w:cs="宋体"/>
                <w:color w:val="auto"/>
                <w:sz w:val="18"/>
                <w:szCs w:val="18"/>
              </w:rPr>
            </w:pPr>
          </w:p>
        </w:tc>
      </w:tr>
      <w:tr w14:paraId="4A560C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319C94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1071" w:type="dxa"/>
            <w:tcBorders>
              <w:top w:val="single" w:color="auto" w:sz="2" w:space="0"/>
              <w:left w:val="single" w:color="auto" w:sz="2" w:space="0"/>
              <w:bottom w:val="single" w:color="auto" w:sz="2" w:space="0"/>
              <w:right w:val="single" w:color="auto" w:sz="2" w:space="0"/>
            </w:tcBorders>
            <w:vAlign w:val="center"/>
          </w:tcPr>
          <w:p w14:paraId="29750198">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1F03C6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CA01A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F335FC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2746BE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1,135,479.66</w:t>
            </w:r>
          </w:p>
        </w:tc>
        <w:tc>
          <w:tcPr>
            <w:tcW w:w="1071" w:type="dxa"/>
            <w:tcBorders>
              <w:top w:val="single" w:color="auto" w:sz="2" w:space="0"/>
              <w:left w:val="single" w:color="auto" w:sz="2" w:space="0"/>
              <w:bottom w:val="single" w:color="auto" w:sz="2" w:space="0"/>
              <w:right w:val="single" w:color="auto" w:sz="2" w:space="0"/>
            </w:tcBorders>
            <w:vAlign w:val="center"/>
          </w:tcPr>
          <w:p w14:paraId="5F1D954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1,593,441.90</w:t>
            </w:r>
          </w:p>
        </w:tc>
        <w:tc>
          <w:tcPr>
            <w:tcW w:w="1071" w:type="dxa"/>
            <w:tcBorders>
              <w:top w:val="single" w:color="auto" w:sz="2" w:space="0"/>
              <w:left w:val="single" w:color="auto" w:sz="2" w:space="0"/>
              <w:bottom w:val="single" w:color="auto" w:sz="2" w:space="0"/>
              <w:right w:val="single" w:color="auto" w:sz="2" w:space="0"/>
            </w:tcBorders>
            <w:vAlign w:val="center"/>
          </w:tcPr>
          <w:p w14:paraId="3F4BB2D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72D28E">
            <w:pPr>
              <w:spacing w:before="0" w:after="0" w:line="240" w:lineRule="exact"/>
              <w:jc w:val="right"/>
              <w:rPr>
                <w:rFonts w:ascii="宋体" w:hAnsi="宋体" w:eastAsia="宋体" w:cs="宋体"/>
                <w:color w:val="auto"/>
                <w:sz w:val="18"/>
                <w:szCs w:val="18"/>
              </w:rPr>
            </w:pPr>
          </w:p>
        </w:tc>
      </w:tr>
      <w:tr w14:paraId="3271E7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1CB6AB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按经营地区分类</w:t>
            </w:r>
          </w:p>
        </w:tc>
        <w:tc>
          <w:tcPr>
            <w:tcW w:w="1071" w:type="dxa"/>
            <w:tcBorders>
              <w:top w:val="single" w:color="auto" w:sz="2" w:space="0"/>
              <w:left w:val="single" w:color="auto" w:sz="2" w:space="0"/>
              <w:bottom w:val="single" w:color="auto" w:sz="2" w:space="0"/>
              <w:right w:val="single" w:color="auto" w:sz="2" w:space="0"/>
            </w:tcBorders>
            <w:vAlign w:val="center"/>
          </w:tcPr>
          <w:p w14:paraId="47270FF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C70487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8515E7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814B38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24B488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DE9DF2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E01CED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A6F37E3">
            <w:pPr>
              <w:spacing w:before="0" w:after="0" w:line="240" w:lineRule="exact"/>
              <w:jc w:val="right"/>
              <w:rPr>
                <w:rFonts w:ascii="宋体" w:hAnsi="宋体" w:eastAsia="宋体" w:cs="宋体"/>
                <w:color w:val="auto"/>
                <w:sz w:val="18"/>
                <w:szCs w:val="18"/>
              </w:rPr>
            </w:pPr>
          </w:p>
        </w:tc>
      </w:tr>
      <w:tr w14:paraId="5BB6F9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B7F39D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63D429">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2F1A408">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88C5A9C">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31EE1F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685EFB7">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6D956DA">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34DA7D5">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7296842">
            <w:pPr>
              <w:rPr>
                <w:color w:val="auto"/>
              </w:rPr>
            </w:pPr>
          </w:p>
        </w:tc>
      </w:tr>
      <w:tr w14:paraId="0CA7DC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40E8ED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国内</w:t>
            </w:r>
          </w:p>
        </w:tc>
        <w:tc>
          <w:tcPr>
            <w:tcW w:w="1071" w:type="dxa"/>
            <w:tcBorders>
              <w:top w:val="single" w:color="auto" w:sz="2" w:space="0"/>
              <w:left w:val="single" w:color="auto" w:sz="2" w:space="0"/>
              <w:bottom w:val="single" w:color="auto" w:sz="2" w:space="0"/>
              <w:right w:val="single" w:color="auto" w:sz="2" w:space="0"/>
            </w:tcBorders>
            <w:vAlign w:val="center"/>
          </w:tcPr>
          <w:p w14:paraId="64D936F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7F2965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A2A7F2F">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7BA47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CB5905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206,</w:t>
            </w:r>
            <w:r>
              <w:rPr>
                <w:rFonts w:hint="eastAsia" w:ascii="宋体" w:hAnsi="宋体" w:cs="宋体"/>
                <w:color w:val="auto"/>
                <w:sz w:val="18"/>
                <w:szCs w:val="18"/>
                <w:lang w:val="en-US" w:eastAsia="zh-CN"/>
              </w:rPr>
              <w:t>285</w:t>
            </w:r>
            <w:r>
              <w:rPr>
                <w:rFonts w:ascii="宋体" w:hAnsi="宋体" w:eastAsia="宋体" w:cs="宋体"/>
                <w:color w:val="auto"/>
                <w:sz w:val="18"/>
                <w:szCs w:val="18"/>
              </w:rPr>
              <w:t>,</w:t>
            </w:r>
            <w:r>
              <w:rPr>
                <w:rFonts w:hint="eastAsia" w:ascii="宋体" w:hAnsi="宋体" w:cs="宋体"/>
                <w:color w:val="auto"/>
                <w:sz w:val="18"/>
                <w:szCs w:val="18"/>
                <w:lang w:val="en-US" w:eastAsia="zh-CN"/>
              </w:rPr>
              <w:t>594</w:t>
            </w:r>
            <w:r>
              <w:rPr>
                <w:rFonts w:ascii="宋体" w:hAnsi="宋体" w:eastAsia="宋体" w:cs="宋体"/>
                <w:color w:val="auto"/>
                <w:sz w:val="18"/>
                <w:szCs w:val="18"/>
              </w:rPr>
              <w:t>.59</w:t>
            </w:r>
          </w:p>
        </w:tc>
        <w:tc>
          <w:tcPr>
            <w:tcW w:w="1071" w:type="dxa"/>
            <w:tcBorders>
              <w:top w:val="single" w:color="auto" w:sz="2" w:space="0"/>
              <w:left w:val="single" w:color="auto" w:sz="2" w:space="0"/>
              <w:bottom w:val="single" w:color="auto" w:sz="2" w:space="0"/>
              <w:right w:val="single" w:color="auto" w:sz="2" w:space="0"/>
            </w:tcBorders>
            <w:vAlign w:val="center"/>
          </w:tcPr>
          <w:p w14:paraId="6A68F15B">
            <w:pPr>
              <w:spacing w:before="0" w:after="0" w:line="240" w:lineRule="exact"/>
              <w:jc w:val="right"/>
              <w:rPr>
                <w:rFonts w:hint="default" w:ascii="宋体" w:hAnsi="宋体" w:eastAsia="宋体" w:cs="宋体"/>
                <w:color w:val="auto"/>
                <w:sz w:val="18"/>
                <w:szCs w:val="18"/>
                <w:lang w:val="en-US" w:eastAsia="zh-CN"/>
              </w:rPr>
            </w:pPr>
            <w:r>
              <w:rPr>
                <w:rFonts w:ascii="宋体" w:hAnsi="宋体" w:eastAsia="宋体" w:cs="宋体"/>
                <w:color w:val="auto"/>
                <w:sz w:val="18"/>
                <w:szCs w:val="18"/>
              </w:rPr>
              <w:t>79,</w:t>
            </w:r>
            <w:r>
              <w:rPr>
                <w:rFonts w:hint="eastAsia" w:ascii="宋体" w:hAnsi="宋体" w:cs="宋体"/>
                <w:color w:val="auto"/>
                <w:sz w:val="18"/>
                <w:szCs w:val="18"/>
                <w:lang w:val="en-US" w:eastAsia="zh-CN"/>
              </w:rPr>
              <w:t>228</w:t>
            </w:r>
            <w:r>
              <w:rPr>
                <w:rFonts w:ascii="宋体" w:hAnsi="宋体" w:eastAsia="宋体" w:cs="宋体"/>
                <w:color w:val="auto"/>
                <w:sz w:val="18"/>
                <w:szCs w:val="18"/>
              </w:rPr>
              <w:t>,</w:t>
            </w:r>
            <w:r>
              <w:rPr>
                <w:rFonts w:hint="eastAsia" w:ascii="宋体" w:hAnsi="宋体" w:cs="宋体"/>
                <w:color w:val="auto"/>
                <w:sz w:val="18"/>
                <w:szCs w:val="18"/>
                <w:lang w:val="en-US" w:eastAsia="zh-CN"/>
              </w:rPr>
              <w:t>185</w:t>
            </w:r>
            <w:r>
              <w:rPr>
                <w:rFonts w:ascii="宋体" w:hAnsi="宋体" w:eastAsia="宋体" w:cs="宋体"/>
                <w:color w:val="auto"/>
                <w:sz w:val="18"/>
                <w:szCs w:val="18"/>
              </w:rPr>
              <w:t>.</w:t>
            </w:r>
            <w:r>
              <w:rPr>
                <w:rFonts w:hint="eastAsia" w:ascii="宋体" w:hAnsi="宋体" w:cs="宋体"/>
                <w:color w:val="auto"/>
                <w:sz w:val="18"/>
                <w:szCs w:val="18"/>
                <w:lang w:val="en-US" w:eastAsia="zh-CN"/>
              </w:rPr>
              <w:t>23</w:t>
            </w:r>
          </w:p>
        </w:tc>
        <w:tc>
          <w:tcPr>
            <w:tcW w:w="1071" w:type="dxa"/>
            <w:tcBorders>
              <w:top w:val="single" w:color="auto" w:sz="2" w:space="0"/>
              <w:left w:val="single" w:color="auto" w:sz="2" w:space="0"/>
              <w:bottom w:val="single" w:color="auto" w:sz="2" w:space="0"/>
              <w:right w:val="single" w:color="auto" w:sz="2" w:space="0"/>
            </w:tcBorders>
            <w:vAlign w:val="center"/>
          </w:tcPr>
          <w:p w14:paraId="0DA5455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D19BB8">
            <w:pPr>
              <w:spacing w:before="0" w:after="0" w:line="240" w:lineRule="exact"/>
              <w:jc w:val="right"/>
              <w:rPr>
                <w:rFonts w:ascii="宋体" w:hAnsi="宋体" w:eastAsia="宋体" w:cs="宋体"/>
                <w:color w:val="auto"/>
                <w:sz w:val="18"/>
                <w:szCs w:val="18"/>
              </w:rPr>
            </w:pPr>
          </w:p>
        </w:tc>
      </w:tr>
      <w:tr w14:paraId="3AE981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1EC0A8F">
            <w:pPr>
              <w:spacing w:before="0" w:after="0" w:line="240" w:lineRule="exact"/>
              <w:jc w:val="left"/>
              <w:rPr>
                <w:rFonts w:hint="eastAsia" w:ascii="宋体" w:hAnsi="宋体" w:eastAsia="宋体" w:cs="宋体"/>
                <w:color w:val="auto"/>
                <w:sz w:val="18"/>
                <w:szCs w:val="18"/>
                <w:lang w:val="en-US" w:eastAsia="zh-CN"/>
              </w:rPr>
            </w:pPr>
            <w:r>
              <w:rPr>
                <w:rFonts w:hint="eastAsia" w:ascii="宋体" w:hAnsi="宋体" w:cs="宋体"/>
                <w:color w:val="auto"/>
                <w:sz w:val="18"/>
                <w:szCs w:val="18"/>
                <w:lang w:val="en-US" w:eastAsia="zh-CN"/>
              </w:rPr>
              <w:t>国外</w:t>
            </w:r>
          </w:p>
        </w:tc>
        <w:tc>
          <w:tcPr>
            <w:tcW w:w="1071" w:type="dxa"/>
            <w:tcBorders>
              <w:top w:val="single" w:color="auto" w:sz="2" w:space="0"/>
              <w:left w:val="single" w:color="auto" w:sz="2" w:space="0"/>
              <w:bottom w:val="single" w:color="auto" w:sz="2" w:space="0"/>
              <w:right w:val="single" w:color="auto" w:sz="2" w:space="0"/>
            </w:tcBorders>
            <w:vAlign w:val="center"/>
          </w:tcPr>
          <w:p w14:paraId="3674A31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BFB3B0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65C7EC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340B77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4C69981">
            <w:pPr>
              <w:spacing w:before="0" w:after="0" w:line="240" w:lineRule="exact"/>
              <w:jc w:val="right"/>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61,425.00</w:t>
            </w:r>
          </w:p>
        </w:tc>
        <w:tc>
          <w:tcPr>
            <w:tcW w:w="1071" w:type="dxa"/>
            <w:tcBorders>
              <w:top w:val="single" w:color="auto" w:sz="2" w:space="0"/>
              <w:left w:val="single" w:color="auto" w:sz="2" w:space="0"/>
              <w:bottom w:val="single" w:color="auto" w:sz="2" w:space="0"/>
              <w:right w:val="single" w:color="auto" w:sz="2" w:space="0"/>
            </w:tcBorders>
            <w:vAlign w:val="center"/>
          </w:tcPr>
          <w:p w14:paraId="351A3AA7">
            <w:pPr>
              <w:spacing w:before="0" w:after="0" w:line="240" w:lineRule="exact"/>
              <w:jc w:val="right"/>
              <w:rPr>
                <w:rFonts w:hint="default" w:ascii="宋体" w:hAnsi="宋体" w:eastAsia="宋体" w:cs="宋体"/>
                <w:color w:val="auto"/>
                <w:sz w:val="18"/>
                <w:szCs w:val="18"/>
                <w:lang w:val="en-US" w:eastAsia="zh-CN"/>
              </w:rPr>
            </w:pPr>
            <w:r>
              <w:rPr>
                <w:rFonts w:hint="eastAsia" w:ascii="宋体" w:hAnsi="宋体" w:cs="宋体"/>
                <w:color w:val="auto"/>
                <w:sz w:val="18"/>
                <w:szCs w:val="18"/>
                <w:lang w:val="en-US" w:eastAsia="zh-CN"/>
              </w:rPr>
              <w:t>49,983.77</w:t>
            </w:r>
          </w:p>
        </w:tc>
        <w:tc>
          <w:tcPr>
            <w:tcW w:w="1071" w:type="dxa"/>
            <w:tcBorders>
              <w:top w:val="single" w:color="auto" w:sz="2" w:space="0"/>
              <w:left w:val="single" w:color="auto" w:sz="2" w:space="0"/>
              <w:bottom w:val="single" w:color="auto" w:sz="2" w:space="0"/>
              <w:right w:val="single" w:color="auto" w:sz="2" w:space="0"/>
            </w:tcBorders>
            <w:vAlign w:val="center"/>
          </w:tcPr>
          <w:p w14:paraId="65AB103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8FDDD8E">
            <w:pPr>
              <w:spacing w:before="0" w:after="0" w:line="240" w:lineRule="exact"/>
              <w:jc w:val="right"/>
              <w:rPr>
                <w:rFonts w:ascii="宋体" w:hAnsi="宋体" w:eastAsia="宋体" w:cs="宋体"/>
                <w:color w:val="auto"/>
                <w:sz w:val="18"/>
                <w:szCs w:val="18"/>
              </w:rPr>
            </w:pPr>
          </w:p>
        </w:tc>
      </w:tr>
      <w:tr w14:paraId="215C2E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F54AA0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市场或客户类型</w:t>
            </w:r>
          </w:p>
        </w:tc>
        <w:tc>
          <w:tcPr>
            <w:tcW w:w="1071" w:type="dxa"/>
            <w:tcBorders>
              <w:top w:val="single" w:color="auto" w:sz="2" w:space="0"/>
              <w:left w:val="single" w:color="auto" w:sz="2" w:space="0"/>
              <w:bottom w:val="single" w:color="auto" w:sz="2" w:space="0"/>
              <w:right w:val="single" w:color="auto" w:sz="2" w:space="0"/>
            </w:tcBorders>
            <w:vAlign w:val="center"/>
          </w:tcPr>
          <w:p w14:paraId="7B984E5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5584D6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148BB0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09F66E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BB731D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023FCA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DA71FC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7FEC345">
            <w:pPr>
              <w:spacing w:before="0" w:after="0" w:line="240" w:lineRule="exact"/>
              <w:jc w:val="right"/>
              <w:rPr>
                <w:rFonts w:ascii="宋体" w:hAnsi="宋体" w:eastAsia="宋体" w:cs="宋体"/>
                <w:color w:val="auto"/>
                <w:sz w:val="18"/>
                <w:szCs w:val="18"/>
              </w:rPr>
            </w:pPr>
          </w:p>
        </w:tc>
      </w:tr>
      <w:tr w14:paraId="12DB39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62349B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B7B88F7">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FEFBBD9">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2267CD">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5F8D94E">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870051F">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553CAD">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18AC53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53208FC">
            <w:pPr>
              <w:rPr>
                <w:color w:val="auto"/>
              </w:rPr>
            </w:pPr>
          </w:p>
        </w:tc>
      </w:tr>
      <w:tr w14:paraId="18F3F7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DAB4418">
            <w:pPr>
              <w:spacing w:before="0" w:after="0" w:line="240" w:lineRule="exact"/>
              <w:jc w:val="lef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727F27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48214C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2BB771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492F29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C2AFA8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9DD5C3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68F2EA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586C379">
            <w:pPr>
              <w:spacing w:before="0" w:after="0" w:line="240" w:lineRule="exact"/>
              <w:jc w:val="right"/>
              <w:rPr>
                <w:rFonts w:ascii="宋体" w:hAnsi="宋体" w:eastAsia="宋体" w:cs="宋体"/>
                <w:color w:val="auto"/>
                <w:sz w:val="18"/>
                <w:szCs w:val="18"/>
              </w:rPr>
            </w:pPr>
          </w:p>
        </w:tc>
      </w:tr>
      <w:tr w14:paraId="38F2B5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0E725B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合同类型</w:t>
            </w:r>
          </w:p>
        </w:tc>
        <w:tc>
          <w:tcPr>
            <w:tcW w:w="1071" w:type="dxa"/>
            <w:tcBorders>
              <w:top w:val="single" w:color="auto" w:sz="2" w:space="0"/>
              <w:left w:val="single" w:color="auto" w:sz="2" w:space="0"/>
              <w:bottom w:val="single" w:color="auto" w:sz="2" w:space="0"/>
              <w:right w:val="single" w:color="auto" w:sz="2" w:space="0"/>
            </w:tcBorders>
            <w:vAlign w:val="center"/>
          </w:tcPr>
          <w:p w14:paraId="19B9751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D92119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98D149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8C2C5D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438815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4C1E25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92AFA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E5E93B3">
            <w:pPr>
              <w:spacing w:before="0" w:after="0" w:line="240" w:lineRule="exact"/>
              <w:jc w:val="right"/>
              <w:rPr>
                <w:rFonts w:ascii="宋体" w:hAnsi="宋体" w:eastAsia="宋体" w:cs="宋体"/>
                <w:color w:val="auto"/>
                <w:sz w:val="18"/>
                <w:szCs w:val="18"/>
              </w:rPr>
            </w:pPr>
          </w:p>
        </w:tc>
      </w:tr>
      <w:tr w14:paraId="3A7632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05C9A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DE6861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43417EE">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34A2FA">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D566389">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CD4547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4BAA4CA">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395D4E1">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F29BE9F">
            <w:pPr>
              <w:rPr>
                <w:color w:val="auto"/>
              </w:rPr>
            </w:pPr>
          </w:p>
        </w:tc>
      </w:tr>
      <w:tr w14:paraId="1211B1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EB47E73">
            <w:pPr>
              <w:spacing w:before="0" w:after="0" w:line="240" w:lineRule="exact"/>
              <w:jc w:val="lef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822D64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09DABE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1B017A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31FB4F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BEECA0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161C8C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5C250E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CA2E254">
            <w:pPr>
              <w:spacing w:before="0" w:after="0" w:line="240" w:lineRule="exact"/>
              <w:jc w:val="right"/>
              <w:rPr>
                <w:rFonts w:ascii="宋体" w:hAnsi="宋体" w:eastAsia="宋体" w:cs="宋体"/>
                <w:color w:val="auto"/>
                <w:sz w:val="18"/>
                <w:szCs w:val="18"/>
              </w:rPr>
            </w:pPr>
          </w:p>
        </w:tc>
      </w:tr>
      <w:tr w14:paraId="50E8D7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BB959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按商品转让的时间分类</w:t>
            </w:r>
          </w:p>
        </w:tc>
        <w:tc>
          <w:tcPr>
            <w:tcW w:w="1071" w:type="dxa"/>
            <w:tcBorders>
              <w:top w:val="single" w:color="auto" w:sz="2" w:space="0"/>
              <w:left w:val="single" w:color="auto" w:sz="2" w:space="0"/>
              <w:bottom w:val="single" w:color="auto" w:sz="2" w:space="0"/>
              <w:right w:val="single" w:color="auto" w:sz="2" w:space="0"/>
            </w:tcBorders>
            <w:vAlign w:val="center"/>
          </w:tcPr>
          <w:p w14:paraId="7751755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B3C8C4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F2CD4B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6D06EB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28838C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11BD90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5E0A16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D1E76AE">
            <w:pPr>
              <w:spacing w:before="0" w:after="0" w:line="240" w:lineRule="exact"/>
              <w:jc w:val="right"/>
              <w:rPr>
                <w:rFonts w:ascii="宋体" w:hAnsi="宋体" w:eastAsia="宋体" w:cs="宋体"/>
                <w:color w:val="auto"/>
                <w:sz w:val="18"/>
                <w:szCs w:val="18"/>
              </w:rPr>
            </w:pPr>
          </w:p>
        </w:tc>
      </w:tr>
      <w:tr w14:paraId="5160E2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AB87C0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E21B8E8">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50F1C24">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28F780B">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471399B">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640E501">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BE32643">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8F1ADA8">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549D1C2">
            <w:pPr>
              <w:rPr>
                <w:color w:val="auto"/>
              </w:rPr>
            </w:pPr>
          </w:p>
        </w:tc>
      </w:tr>
      <w:tr w14:paraId="4D2C79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F076DD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在某一时点转让</w:t>
            </w:r>
          </w:p>
        </w:tc>
        <w:tc>
          <w:tcPr>
            <w:tcW w:w="1071" w:type="dxa"/>
            <w:tcBorders>
              <w:top w:val="single" w:color="auto" w:sz="2" w:space="0"/>
              <w:left w:val="single" w:color="auto" w:sz="2" w:space="0"/>
              <w:bottom w:val="single" w:color="auto" w:sz="2" w:space="0"/>
              <w:right w:val="single" w:color="auto" w:sz="2" w:space="0"/>
            </w:tcBorders>
            <w:vAlign w:val="center"/>
          </w:tcPr>
          <w:p w14:paraId="751EFA6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879777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0F587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64934B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0600F9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206,347,019.59</w:t>
            </w:r>
          </w:p>
        </w:tc>
        <w:tc>
          <w:tcPr>
            <w:tcW w:w="1071" w:type="dxa"/>
            <w:tcBorders>
              <w:top w:val="single" w:color="auto" w:sz="2" w:space="0"/>
              <w:left w:val="single" w:color="auto" w:sz="2" w:space="0"/>
              <w:bottom w:val="single" w:color="auto" w:sz="2" w:space="0"/>
              <w:right w:val="single" w:color="auto" w:sz="2" w:space="0"/>
            </w:tcBorders>
            <w:vAlign w:val="center"/>
          </w:tcPr>
          <w:p w14:paraId="0B92DD0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79,278,169.00</w:t>
            </w:r>
          </w:p>
        </w:tc>
        <w:tc>
          <w:tcPr>
            <w:tcW w:w="1071" w:type="dxa"/>
            <w:tcBorders>
              <w:top w:val="single" w:color="auto" w:sz="2" w:space="0"/>
              <w:left w:val="single" w:color="auto" w:sz="2" w:space="0"/>
              <w:bottom w:val="single" w:color="auto" w:sz="2" w:space="0"/>
              <w:right w:val="single" w:color="auto" w:sz="2" w:space="0"/>
            </w:tcBorders>
            <w:vAlign w:val="center"/>
          </w:tcPr>
          <w:p w14:paraId="0DB0C8B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EBB9DE1">
            <w:pPr>
              <w:spacing w:before="0" w:after="0" w:line="240" w:lineRule="exact"/>
              <w:jc w:val="right"/>
              <w:rPr>
                <w:rFonts w:ascii="宋体" w:hAnsi="宋体" w:eastAsia="宋体" w:cs="宋体"/>
                <w:color w:val="auto"/>
                <w:sz w:val="18"/>
                <w:szCs w:val="18"/>
              </w:rPr>
            </w:pPr>
          </w:p>
        </w:tc>
      </w:tr>
      <w:tr w14:paraId="1E0BAF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DBFB01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按合同期限分类</w:t>
            </w:r>
          </w:p>
        </w:tc>
        <w:tc>
          <w:tcPr>
            <w:tcW w:w="1071" w:type="dxa"/>
            <w:tcBorders>
              <w:top w:val="single" w:color="auto" w:sz="2" w:space="0"/>
              <w:left w:val="single" w:color="auto" w:sz="2" w:space="0"/>
              <w:bottom w:val="single" w:color="auto" w:sz="2" w:space="0"/>
              <w:right w:val="single" w:color="auto" w:sz="2" w:space="0"/>
            </w:tcBorders>
            <w:vAlign w:val="center"/>
          </w:tcPr>
          <w:p w14:paraId="14EFD2A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02CDCC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DA3729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C5F1CEF">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C50038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666B86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F87E43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EB28E7F">
            <w:pPr>
              <w:spacing w:before="0" w:after="0" w:line="240" w:lineRule="exact"/>
              <w:jc w:val="right"/>
              <w:rPr>
                <w:rFonts w:ascii="宋体" w:hAnsi="宋体" w:eastAsia="宋体" w:cs="宋体"/>
                <w:color w:val="auto"/>
                <w:sz w:val="18"/>
                <w:szCs w:val="18"/>
              </w:rPr>
            </w:pPr>
          </w:p>
        </w:tc>
      </w:tr>
      <w:tr w14:paraId="32553C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5A87A6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214C405">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031F860">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969B8F0">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99ACB17">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14CAADE">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D684892">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B59EEB8">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EDB2382">
            <w:pPr>
              <w:rPr>
                <w:color w:val="auto"/>
              </w:rPr>
            </w:pPr>
          </w:p>
        </w:tc>
      </w:tr>
      <w:tr w14:paraId="2792D3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3201286">
            <w:pPr>
              <w:spacing w:before="0" w:after="0" w:line="240" w:lineRule="exact"/>
              <w:jc w:val="lef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8033A3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EE241E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F88B1E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A9FDDD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C82405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A72DF1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8A45FB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A3E716F">
            <w:pPr>
              <w:spacing w:before="0" w:after="0" w:line="240" w:lineRule="exact"/>
              <w:jc w:val="right"/>
              <w:rPr>
                <w:rFonts w:ascii="宋体" w:hAnsi="宋体" w:eastAsia="宋体" w:cs="宋体"/>
                <w:color w:val="auto"/>
                <w:sz w:val="18"/>
                <w:szCs w:val="18"/>
              </w:rPr>
            </w:pPr>
          </w:p>
        </w:tc>
      </w:tr>
      <w:tr w14:paraId="3CA675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FB496C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按销售渠道分类</w:t>
            </w:r>
          </w:p>
        </w:tc>
        <w:tc>
          <w:tcPr>
            <w:tcW w:w="1071" w:type="dxa"/>
            <w:tcBorders>
              <w:top w:val="single" w:color="auto" w:sz="2" w:space="0"/>
              <w:left w:val="single" w:color="auto" w:sz="2" w:space="0"/>
              <w:bottom w:val="single" w:color="auto" w:sz="2" w:space="0"/>
              <w:right w:val="single" w:color="auto" w:sz="2" w:space="0"/>
            </w:tcBorders>
            <w:vAlign w:val="center"/>
          </w:tcPr>
          <w:p w14:paraId="2DF3C55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BD4010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6AB535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787951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9D03F1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0D6059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B25359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DD075E6">
            <w:pPr>
              <w:spacing w:before="0" w:after="0" w:line="240" w:lineRule="exact"/>
              <w:jc w:val="right"/>
              <w:rPr>
                <w:rFonts w:ascii="宋体" w:hAnsi="宋体" w:eastAsia="宋体" w:cs="宋体"/>
                <w:color w:val="auto"/>
                <w:sz w:val="18"/>
                <w:szCs w:val="18"/>
              </w:rPr>
            </w:pPr>
          </w:p>
        </w:tc>
      </w:tr>
      <w:tr w14:paraId="432CAB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0A3B35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F050B77">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A41962B">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3CE35E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D26FDF">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B9C236C">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98E475F">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7C54D84">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84B4CC3">
            <w:pPr>
              <w:rPr>
                <w:color w:val="auto"/>
              </w:rPr>
            </w:pPr>
          </w:p>
        </w:tc>
      </w:tr>
      <w:tr w14:paraId="61E90F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6BFCDD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直销</w:t>
            </w:r>
          </w:p>
        </w:tc>
        <w:tc>
          <w:tcPr>
            <w:tcW w:w="1071" w:type="dxa"/>
            <w:tcBorders>
              <w:top w:val="single" w:color="auto" w:sz="2" w:space="0"/>
              <w:left w:val="single" w:color="auto" w:sz="2" w:space="0"/>
              <w:bottom w:val="single" w:color="auto" w:sz="2" w:space="0"/>
              <w:right w:val="single" w:color="auto" w:sz="2" w:space="0"/>
            </w:tcBorders>
            <w:vAlign w:val="center"/>
          </w:tcPr>
          <w:p w14:paraId="24B0BE4F">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6AAD71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298422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60CAC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8305C8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140,323,716.83</w:t>
            </w:r>
          </w:p>
        </w:tc>
        <w:tc>
          <w:tcPr>
            <w:tcW w:w="1071" w:type="dxa"/>
            <w:tcBorders>
              <w:top w:val="single" w:color="auto" w:sz="2" w:space="0"/>
              <w:left w:val="single" w:color="auto" w:sz="2" w:space="0"/>
              <w:bottom w:val="single" w:color="auto" w:sz="2" w:space="0"/>
              <w:right w:val="single" w:color="auto" w:sz="2" w:space="0"/>
            </w:tcBorders>
            <w:vAlign w:val="center"/>
          </w:tcPr>
          <w:p w14:paraId="07D8A4B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31,165,020.22</w:t>
            </w:r>
          </w:p>
        </w:tc>
        <w:tc>
          <w:tcPr>
            <w:tcW w:w="1071" w:type="dxa"/>
            <w:tcBorders>
              <w:top w:val="single" w:color="auto" w:sz="2" w:space="0"/>
              <w:left w:val="single" w:color="auto" w:sz="2" w:space="0"/>
              <w:bottom w:val="single" w:color="auto" w:sz="2" w:space="0"/>
              <w:right w:val="single" w:color="auto" w:sz="2" w:space="0"/>
            </w:tcBorders>
            <w:vAlign w:val="center"/>
          </w:tcPr>
          <w:p w14:paraId="581006D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8204C56">
            <w:pPr>
              <w:spacing w:before="0" w:after="0" w:line="240" w:lineRule="exact"/>
              <w:jc w:val="right"/>
              <w:rPr>
                <w:rFonts w:ascii="宋体" w:hAnsi="宋体" w:eastAsia="宋体" w:cs="宋体"/>
                <w:color w:val="auto"/>
                <w:sz w:val="18"/>
                <w:szCs w:val="18"/>
              </w:rPr>
            </w:pPr>
          </w:p>
        </w:tc>
      </w:tr>
      <w:tr w14:paraId="78E44E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B1FFD7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经销</w:t>
            </w:r>
          </w:p>
        </w:tc>
        <w:tc>
          <w:tcPr>
            <w:tcW w:w="1071" w:type="dxa"/>
            <w:tcBorders>
              <w:top w:val="single" w:color="auto" w:sz="2" w:space="0"/>
              <w:left w:val="single" w:color="auto" w:sz="2" w:space="0"/>
              <w:bottom w:val="single" w:color="auto" w:sz="2" w:space="0"/>
              <w:right w:val="single" w:color="auto" w:sz="2" w:space="0"/>
            </w:tcBorders>
            <w:vAlign w:val="center"/>
          </w:tcPr>
          <w:p w14:paraId="15DD716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12A75FF">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B7F2D7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57D50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2838B5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20,273,435.22</w:t>
            </w:r>
          </w:p>
        </w:tc>
        <w:tc>
          <w:tcPr>
            <w:tcW w:w="1071" w:type="dxa"/>
            <w:tcBorders>
              <w:top w:val="single" w:color="auto" w:sz="2" w:space="0"/>
              <w:left w:val="single" w:color="auto" w:sz="2" w:space="0"/>
              <w:bottom w:val="single" w:color="auto" w:sz="2" w:space="0"/>
              <w:right w:val="single" w:color="auto" w:sz="2" w:space="0"/>
            </w:tcBorders>
            <w:vAlign w:val="center"/>
          </w:tcPr>
          <w:p w14:paraId="621B6AC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14,958,506.23</w:t>
            </w:r>
          </w:p>
        </w:tc>
        <w:tc>
          <w:tcPr>
            <w:tcW w:w="1071" w:type="dxa"/>
            <w:tcBorders>
              <w:top w:val="single" w:color="auto" w:sz="2" w:space="0"/>
              <w:left w:val="single" w:color="auto" w:sz="2" w:space="0"/>
              <w:bottom w:val="single" w:color="auto" w:sz="2" w:space="0"/>
              <w:right w:val="single" w:color="auto" w:sz="2" w:space="0"/>
            </w:tcBorders>
            <w:vAlign w:val="center"/>
          </w:tcPr>
          <w:p w14:paraId="329769B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5683189">
            <w:pPr>
              <w:spacing w:before="0" w:after="0" w:line="240" w:lineRule="exact"/>
              <w:jc w:val="right"/>
              <w:rPr>
                <w:rFonts w:ascii="宋体" w:hAnsi="宋体" w:eastAsia="宋体" w:cs="宋体"/>
                <w:color w:val="auto"/>
                <w:sz w:val="18"/>
                <w:szCs w:val="18"/>
              </w:rPr>
            </w:pPr>
          </w:p>
        </w:tc>
      </w:tr>
      <w:tr w14:paraId="29CA8F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8924B1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1071" w:type="dxa"/>
            <w:tcBorders>
              <w:top w:val="single" w:color="auto" w:sz="2" w:space="0"/>
              <w:left w:val="single" w:color="auto" w:sz="2" w:space="0"/>
              <w:bottom w:val="single" w:color="auto" w:sz="2" w:space="0"/>
              <w:right w:val="single" w:color="auto" w:sz="2" w:space="0"/>
            </w:tcBorders>
            <w:vAlign w:val="center"/>
          </w:tcPr>
          <w:p w14:paraId="3B3ACE8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E14C14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4DA25F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C5BBFB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D822DA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1,135,479.66</w:t>
            </w:r>
          </w:p>
        </w:tc>
        <w:tc>
          <w:tcPr>
            <w:tcW w:w="1071" w:type="dxa"/>
            <w:tcBorders>
              <w:top w:val="single" w:color="auto" w:sz="2" w:space="0"/>
              <w:left w:val="single" w:color="auto" w:sz="2" w:space="0"/>
              <w:bottom w:val="single" w:color="auto" w:sz="2" w:space="0"/>
              <w:right w:val="single" w:color="auto" w:sz="2" w:space="0"/>
            </w:tcBorders>
            <w:vAlign w:val="center"/>
          </w:tcPr>
          <w:p w14:paraId="04FDE2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1,593,441.90</w:t>
            </w:r>
          </w:p>
        </w:tc>
        <w:tc>
          <w:tcPr>
            <w:tcW w:w="1071" w:type="dxa"/>
            <w:tcBorders>
              <w:top w:val="single" w:color="auto" w:sz="2" w:space="0"/>
              <w:left w:val="single" w:color="auto" w:sz="2" w:space="0"/>
              <w:bottom w:val="single" w:color="auto" w:sz="2" w:space="0"/>
              <w:right w:val="single" w:color="auto" w:sz="2" w:space="0"/>
            </w:tcBorders>
            <w:vAlign w:val="center"/>
          </w:tcPr>
          <w:p w14:paraId="5BD94AB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24EA65E">
            <w:pPr>
              <w:spacing w:before="0" w:after="0" w:line="240" w:lineRule="exact"/>
              <w:jc w:val="right"/>
              <w:rPr>
                <w:rFonts w:ascii="宋体" w:hAnsi="宋体" w:eastAsia="宋体" w:cs="宋体"/>
                <w:color w:val="auto"/>
                <w:sz w:val="18"/>
                <w:szCs w:val="18"/>
              </w:rPr>
            </w:pPr>
          </w:p>
        </w:tc>
      </w:tr>
      <w:tr w14:paraId="32FD99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0FCC86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政府采购</w:t>
            </w:r>
          </w:p>
        </w:tc>
        <w:tc>
          <w:tcPr>
            <w:tcW w:w="1071" w:type="dxa"/>
            <w:tcBorders>
              <w:top w:val="single" w:color="auto" w:sz="2" w:space="0"/>
              <w:left w:val="single" w:color="auto" w:sz="2" w:space="0"/>
              <w:bottom w:val="single" w:color="auto" w:sz="2" w:space="0"/>
              <w:right w:val="single" w:color="auto" w:sz="2" w:space="0"/>
            </w:tcBorders>
            <w:vAlign w:val="center"/>
          </w:tcPr>
          <w:p w14:paraId="411D7F5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4AA71C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D68C4B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283488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540E5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44,614,387.88</w:t>
            </w:r>
          </w:p>
        </w:tc>
        <w:tc>
          <w:tcPr>
            <w:tcW w:w="1071" w:type="dxa"/>
            <w:tcBorders>
              <w:top w:val="single" w:color="auto" w:sz="2" w:space="0"/>
              <w:left w:val="single" w:color="auto" w:sz="2" w:space="0"/>
              <w:bottom w:val="single" w:color="auto" w:sz="2" w:space="0"/>
              <w:right w:val="single" w:color="auto" w:sz="2" w:space="0"/>
            </w:tcBorders>
            <w:vAlign w:val="center"/>
          </w:tcPr>
          <w:p w14:paraId="01DE204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31,561,200.65</w:t>
            </w:r>
          </w:p>
        </w:tc>
        <w:tc>
          <w:tcPr>
            <w:tcW w:w="1071" w:type="dxa"/>
            <w:tcBorders>
              <w:top w:val="single" w:color="auto" w:sz="2" w:space="0"/>
              <w:left w:val="single" w:color="auto" w:sz="2" w:space="0"/>
              <w:bottom w:val="single" w:color="auto" w:sz="2" w:space="0"/>
              <w:right w:val="single" w:color="auto" w:sz="2" w:space="0"/>
            </w:tcBorders>
            <w:vAlign w:val="center"/>
          </w:tcPr>
          <w:p w14:paraId="04351C2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3E8627D">
            <w:pPr>
              <w:spacing w:before="0" w:after="0" w:line="240" w:lineRule="exact"/>
              <w:jc w:val="right"/>
              <w:rPr>
                <w:rFonts w:ascii="宋体" w:hAnsi="宋体" w:eastAsia="宋体" w:cs="宋体"/>
                <w:color w:val="auto"/>
                <w:sz w:val="18"/>
                <w:szCs w:val="18"/>
              </w:rPr>
            </w:pPr>
          </w:p>
        </w:tc>
      </w:tr>
      <w:tr w14:paraId="7A2400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FA8C7D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620B412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BE689B8">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517C6D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94E153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CFF392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206,347,019.59</w:t>
            </w:r>
          </w:p>
        </w:tc>
        <w:tc>
          <w:tcPr>
            <w:tcW w:w="1071" w:type="dxa"/>
            <w:tcBorders>
              <w:top w:val="single" w:color="auto" w:sz="2" w:space="0"/>
              <w:left w:val="single" w:color="auto" w:sz="2" w:space="0"/>
              <w:bottom w:val="single" w:color="auto" w:sz="2" w:space="0"/>
              <w:right w:val="single" w:color="auto" w:sz="2" w:space="0"/>
            </w:tcBorders>
            <w:vAlign w:val="center"/>
          </w:tcPr>
          <w:p w14:paraId="0C07B1C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79,278,169.00</w:t>
            </w:r>
          </w:p>
        </w:tc>
        <w:tc>
          <w:tcPr>
            <w:tcW w:w="1071" w:type="dxa"/>
            <w:tcBorders>
              <w:top w:val="single" w:color="auto" w:sz="2" w:space="0"/>
              <w:left w:val="single" w:color="auto" w:sz="2" w:space="0"/>
              <w:bottom w:val="single" w:color="auto" w:sz="2" w:space="0"/>
              <w:right w:val="single" w:color="auto" w:sz="2" w:space="0"/>
            </w:tcBorders>
            <w:vAlign w:val="center"/>
          </w:tcPr>
          <w:p w14:paraId="53D557B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517D4DE">
            <w:pPr>
              <w:spacing w:before="0" w:after="0" w:line="240" w:lineRule="exact"/>
              <w:jc w:val="right"/>
              <w:rPr>
                <w:rFonts w:ascii="宋体" w:hAnsi="宋体" w:eastAsia="宋体" w:cs="宋体"/>
                <w:color w:val="auto"/>
                <w:sz w:val="18"/>
                <w:szCs w:val="18"/>
              </w:rPr>
            </w:pPr>
          </w:p>
        </w:tc>
      </w:tr>
    </w:tbl>
    <w:p w14:paraId="03D4CAF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与履约义务相关的信息：</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2C270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EA66F8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2EF6D3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履行履约义务的时间</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8FD7DC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重要的支付条款</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3BB3C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公司承诺转让商品的性质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3B8B8A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是否为主要责任人</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5406FE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公司承担的预期将退还给客户的款项</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AC3405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公司提供的质量保证类型及相关义务</w:t>
            </w:r>
          </w:p>
        </w:tc>
      </w:tr>
    </w:tbl>
    <w:p w14:paraId="642F10E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F5C039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与分摊至剩余履约义务的交易价格相关的信息：</w:t>
      </w:r>
    </w:p>
    <w:p w14:paraId="73D7079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本报告期末已签订合同、但尚未履行或尚未履行完毕的履约义务所对应的收入金额为0.00元，其中，元预计将于年度确认收入，元预计将于年度确认收入，元预计将于年度确认收入。</w:t>
      </w:r>
    </w:p>
    <w:p w14:paraId="6A8FC05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合同中可变对价相关信息：</w:t>
      </w:r>
    </w:p>
    <w:p w14:paraId="1706E8A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重大合同变更或重大交易价格调整</w:t>
      </w:r>
    </w:p>
    <w:p w14:paraId="67E4AB30">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B44AE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47F60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C2DD9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会计处理方法</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ABB17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对收入的影响金额</w:t>
            </w:r>
          </w:p>
        </w:tc>
      </w:tr>
    </w:tbl>
    <w:p w14:paraId="2CD27D7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5D4FF3E9">
      <w:pPr>
        <w:keepNext/>
        <w:keepLines/>
        <w:spacing w:before="300" w:after="300" w:line="280" w:lineRule="exact"/>
        <w:jc w:val="left"/>
        <w:outlineLvl w:val="2"/>
        <w:rPr>
          <w:rFonts w:ascii="宋体" w:hAnsi="宋体" w:eastAsia="宋体" w:cs="宋体"/>
          <w:b/>
          <w:bCs/>
          <w:color w:val="auto"/>
          <w:sz w:val="21"/>
          <w:szCs w:val="21"/>
        </w:rPr>
      </w:pPr>
      <w:bookmarkStart w:id="263" w:name="_Toc989239"/>
      <w:r>
        <w:rPr>
          <w:rFonts w:ascii="宋体" w:hAnsi="宋体" w:eastAsia="宋体" w:cs="宋体"/>
          <w:b/>
          <w:bCs/>
          <w:color w:val="auto"/>
          <w:sz w:val="21"/>
          <w:szCs w:val="21"/>
        </w:rPr>
        <w:t>62、税金及附加</w:t>
      </w:r>
      <w:bookmarkEnd w:id="263"/>
    </w:p>
    <w:p w14:paraId="1E87EE8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E3C8A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6499A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04FCC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BBC54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13F220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338EDD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56164D7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949,816.00</w:t>
            </w:r>
          </w:p>
        </w:tc>
        <w:tc>
          <w:tcPr>
            <w:tcW w:w="3213" w:type="dxa"/>
            <w:tcBorders>
              <w:top w:val="single" w:color="auto" w:sz="2" w:space="0"/>
              <w:left w:val="single" w:color="auto" w:sz="2" w:space="0"/>
              <w:bottom w:val="single" w:color="auto" w:sz="2" w:space="0"/>
              <w:right w:val="single" w:color="auto" w:sz="2" w:space="0"/>
            </w:tcBorders>
            <w:vAlign w:val="center"/>
          </w:tcPr>
          <w:p w14:paraId="14AE8A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820,321.47</w:t>
            </w:r>
          </w:p>
        </w:tc>
      </w:tr>
      <w:tr w14:paraId="1A58F9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196624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34AE051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920,257.28</w:t>
            </w:r>
          </w:p>
        </w:tc>
        <w:tc>
          <w:tcPr>
            <w:tcW w:w="3213" w:type="dxa"/>
            <w:tcBorders>
              <w:top w:val="single" w:color="auto" w:sz="2" w:space="0"/>
              <w:left w:val="single" w:color="auto" w:sz="2" w:space="0"/>
              <w:bottom w:val="single" w:color="auto" w:sz="2" w:space="0"/>
              <w:right w:val="single" w:color="auto" w:sz="2" w:space="0"/>
            </w:tcBorders>
            <w:vAlign w:val="center"/>
          </w:tcPr>
          <w:p w14:paraId="5FF1F1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925,675.29</w:t>
            </w:r>
          </w:p>
        </w:tc>
      </w:tr>
      <w:tr w14:paraId="53EC94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902446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印花税</w:t>
            </w:r>
          </w:p>
        </w:tc>
        <w:tc>
          <w:tcPr>
            <w:tcW w:w="3213" w:type="dxa"/>
            <w:tcBorders>
              <w:top w:val="single" w:color="auto" w:sz="2" w:space="0"/>
              <w:left w:val="single" w:color="auto" w:sz="2" w:space="0"/>
              <w:bottom w:val="single" w:color="auto" w:sz="2" w:space="0"/>
              <w:right w:val="single" w:color="auto" w:sz="2" w:space="0"/>
            </w:tcBorders>
            <w:vAlign w:val="center"/>
          </w:tcPr>
          <w:p w14:paraId="7E11C24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105,170.37</w:t>
            </w:r>
          </w:p>
        </w:tc>
        <w:tc>
          <w:tcPr>
            <w:tcW w:w="3213" w:type="dxa"/>
            <w:tcBorders>
              <w:top w:val="single" w:color="auto" w:sz="2" w:space="0"/>
              <w:left w:val="single" w:color="auto" w:sz="2" w:space="0"/>
              <w:bottom w:val="single" w:color="auto" w:sz="2" w:space="0"/>
              <w:right w:val="single" w:color="auto" w:sz="2" w:space="0"/>
            </w:tcBorders>
            <w:vAlign w:val="center"/>
          </w:tcPr>
          <w:p w14:paraId="03BB91F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189,963.73</w:t>
            </w:r>
          </w:p>
        </w:tc>
      </w:tr>
      <w:tr w14:paraId="7CEEB5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D782B9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土地使用税</w:t>
            </w:r>
          </w:p>
        </w:tc>
        <w:tc>
          <w:tcPr>
            <w:tcW w:w="3213" w:type="dxa"/>
            <w:tcBorders>
              <w:top w:val="single" w:color="auto" w:sz="2" w:space="0"/>
              <w:left w:val="single" w:color="auto" w:sz="2" w:space="0"/>
              <w:bottom w:val="single" w:color="auto" w:sz="2" w:space="0"/>
              <w:right w:val="single" w:color="auto" w:sz="2" w:space="0"/>
            </w:tcBorders>
            <w:vAlign w:val="center"/>
          </w:tcPr>
          <w:p w14:paraId="5B2F371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405,206.03</w:t>
            </w:r>
          </w:p>
        </w:tc>
        <w:tc>
          <w:tcPr>
            <w:tcW w:w="3213" w:type="dxa"/>
            <w:tcBorders>
              <w:top w:val="single" w:color="auto" w:sz="2" w:space="0"/>
              <w:left w:val="single" w:color="auto" w:sz="2" w:space="0"/>
              <w:bottom w:val="single" w:color="auto" w:sz="2" w:space="0"/>
              <w:right w:val="single" w:color="auto" w:sz="2" w:space="0"/>
            </w:tcBorders>
            <w:vAlign w:val="center"/>
          </w:tcPr>
          <w:p w14:paraId="2CACBA6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405,206.02</w:t>
            </w:r>
          </w:p>
        </w:tc>
      </w:tr>
      <w:tr w14:paraId="229791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083E69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房产税</w:t>
            </w:r>
          </w:p>
        </w:tc>
        <w:tc>
          <w:tcPr>
            <w:tcW w:w="3213" w:type="dxa"/>
            <w:tcBorders>
              <w:top w:val="single" w:color="auto" w:sz="2" w:space="0"/>
              <w:left w:val="single" w:color="auto" w:sz="2" w:space="0"/>
              <w:bottom w:val="single" w:color="auto" w:sz="2" w:space="0"/>
              <w:right w:val="single" w:color="auto" w:sz="2" w:space="0"/>
            </w:tcBorders>
            <w:vAlign w:val="center"/>
          </w:tcPr>
          <w:p w14:paraId="294FB2A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2,206,366.46</w:t>
            </w:r>
          </w:p>
        </w:tc>
        <w:tc>
          <w:tcPr>
            <w:tcW w:w="3213" w:type="dxa"/>
            <w:tcBorders>
              <w:top w:val="single" w:color="auto" w:sz="2" w:space="0"/>
              <w:left w:val="single" w:color="auto" w:sz="2" w:space="0"/>
              <w:bottom w:val="single" w:color="auto" w:sz="2" w:space="0"/>
              <w:right w:val="single" w:color="auto" w:sz="2" w:space="0"/>
            </w:tcBorders>
            <w:vAlign w:val="center"/>
          </w:tcPr>
          <w:p w14:paraId="3D10A99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2,206,307.24</w:t>
            </w:r>
          </w:p>
        </w:tc>
      </w:tr>
      <w:tr w14:paraId="2D1FC7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97E56C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车船使用税</w:t>
            </w:r>
          </w:p>
        </w:tc>
        <w:tc>
          <w:tcPr>
            <w:tcW w:w="3213" w:type="dxa"/>
            <w:tcBorders>
              <w:top w:val="single" w:color="auto" w:sz="2" w:space="0"/>
              <w:left w:val="single" w:color="auto" w:sz="2" w:space="0"/>
              <w:bottom w:val="single" w:color="auto" w:sz="2" w:space="0"/>
              <w:right w:val="single" w:color="auto" w:sz="2" w:space="0"/>
            </w:tcBorders>
            <w:vAlign w:val="center"/>
          </w:tcPr>
          <w:p w14:paraId="33C94A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3,660.00</w:t>
            </w:r>
          </w:p>
        </w:tc>
        <w:tc>
          <w:tcPr>
            <w:tcW w:w="3213" w:type="dxa"/>
            <w:tcBorders>
              <w:top w:val="single" w:color="auto" w:sz="2" w:space="0"/>
              <w:left w:val="single" w:color="auto" w:sz="2" w:space="0"/>
              <w:bottom w:val="single" w:color="auto" w:sz="2" w:space="0"/>
              <w:right w:val="single" w:color="auto" w:sz="2" w:space="0"/>
            </w:tcBorders>
            <w:vAlign w:val="center"/>
          </w:tcPr>
          <w:p w14:paraId="737C412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4,020.00</w:t>
            </w:r>
          </w:p>
        </w:tc>
      </w:tr>
      <w:tr w14:paraId="0DAD19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209B05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环境保护税</w:t>
            </w:r>
          </w:p>
        </w:tc>
        <w:tc>
          <w:tcPr>
            <w:tcW w:w="3213" w:type="dxa"/>
            <w:tcBorders>
              <w:top w:val="single" w:color="auto" w:sz="2" w:space="0"/>
              <w:left w:val="single" w:color="auto" w:sz="2" w:space="0"/>
              <w:bottom w:val="single" w:color="auto" w:sz="2" w:space="0"/>
              <w:right w:val="single" w:color="auto" w:sz="2" w:space="0"/>
            </w:tcBorders>
            <w:vAlign w:val="center"/>
          </w:tcPr>
          <w:p w14:paraId="559EB9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7,511.26</w:t>
            </w:r>
          </w:p>
        </w:tc>
        <w:tc>
          <w:tcPr>
            <w:tcW w:w="3213" w:type="dxa"/>
            <w:tcBorders>
              <w:top w:val="single" w:color="auto" w:sz="2" w:space="0"/>
              <w:left w:val="single" w:color="auto" w:sz="2" w:space="0"/>
              <w:bottom w:val="single" w:color="auto" w:sz="2" w:space="0"/>
              <w:right w:val="single" w:color="auto" w:sz="2" w:space="0"/>
            </w:tcBorders>
            <w:vAlign w:val="center"/>
          </w:tcPr>
          <w:p w14:paraId="2711CE6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4,713.48</w:t>
            </w:r>
          </w:p>
        </w:tc>
      </w:tr>
      <w:tr w14:paraId="1CB6A2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B114E5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水利建设基金</w:t>
            </w:r>
          </w:p>
        </w:tc>
        <w:tc>
          <w:tcPr>
            <w:tcW w:w="3213" w:type="dxa"/>
            <w:tcBorders>
              <w:top w:val="single" w:color="auto" w:sz="2" w:space="0"/>
              <w:left w:val="single" w:color="auto" w:sz="2" w:space="0"/>
              <w:bottom w:val="single" w:color="auto" w:sz="2" w:space="0"/>
              <w:right w:val="single" w:color="auto" w:sz="2" w:space="0"/>
            </w:tcBorders>
            <w:vAlign w:val="center"/>
          </w:tcPr>
          <w:p w14:paraId="5CA6C9B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122,361.00</w:t>
            </w:r>
          </w:p>
        </w:tc>
        <w:tc>
          <w:tcPr>
            <w:tcW w:w="3213" w:type="dxa"/>
            <w:tcBorders>
              <w:top w:val="single" w:color="auto" w:sz="2" w:space="0"/>
              <w:left w:val="single" w:color="auto" w:sz="2" w:space="0"/>
              <w:bottom w:val="single" w:color="auto" w:sz="2" w:space="0"/>
              <w:right w:val="single" w:color="auto" w:sz="2" w:space="0"/>
            </w:tcBorders>
            <w:vAlign w:val="center"/>
          </w:tcPr>
          <w:p w14:paraId="5B2266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5,926.09</w:t>
            </w:r>
          </w:p>
        </w:tc>
      </w:tr>
      <w:tr w14:paraId="4E51BF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0E248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45AD4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4,720,348.40</w:t>
            </w:r>
          </w:p>
        </w:tc>
        <w:tc>
          <w:tcPr>
            <w:tcW w:w="3213" w:type="dxa"/>
            <w:tcBorders>
              <w:top w:val="single" w:color="auto" w:sz="2" w:space="0"/>
              <w:left w:val="single" w:color="auto" w:sz="2" w:space="0"/>
              <w:bottom w:val="single" w:color="auto" w:sz="2" w:space="0"/>
              <w:right w:val="single" w:color="auto" w:sz="2" w:space="0"/>
            </w:tcBorders>
            <w:vAlign w:val="center"/>
          </w:tcPr>
          <w:p w14:paraId="2EF2C6D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4,562,133.32</w:t>
            </w:r>
          </w:p>
        </w:tc>
      </w:tr>
    </w:tbl>
    <w:p w14:paraId="4C7C3D1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1DDAF9E">
      <w:pPr>
        <w:keepNext/>
        <w:keepLines/>
        <w:spacing w:before="300" w:after="300" w:line="280" w:lineRule="exact"/>
        <w:jc w:val="left"/>
        <w:outlineLvl w:val="2"/>
        <w:rPr>
          <w:rFonts w:ascii="宋体" w:hAnsi="宋体" w:eastAsia="宋体" w:cs="宋体"/>
          <w:b/>
          <w:bCs/>
          <w:color w:val="auto"/>
          <w:sz w:val="21"/>
          <w:szCs w:val="21"/>
        </w:rPr>
      </w:pPr>
      <w:bookmarkStart w:id="264" w:name="_Toc989240"/>
      <w:r>
        <w:rPr>
          <w:rFonts w:ascii="宋体" w:hAnsi="宋体" w:eastAsia="宋体" w:cs="宋体"/>
          <w:b/>
          <w:bCs/>
          <w:color w:val="auto"/>
          <w:sz w:val="21"/>
          <w:szCs w:val="21"/>
        </w:rPr>
        <w:t>63、管理费用</w:t>
      </w:r>
      <w:bookmarkEnd w:id="264"/>
    </w:p>
    <w:p w14:paraId="634F0E31">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D00E0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6890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1CD07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5F5CC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317CD2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0293FA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4DAD90A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20,213,734.51</w:t>
            </w:r>
          </w:p>
        </w:tc>
        <w:tc>
          <w:tcPr>
            <w:tcW w:w="3213" w:type="dxa"/>
            <w:tcBorders>
              <w:top w:val="single" w:color="auto" w:sz="2" w:space="0"/>
              <w:left w:val="single" w:color="auto" w:sz="2" w:space="0"/>
              <w:bottom w:val="single" w:color="auto" w:sz="2" w:space="0"/>
              <w:right w:val="single" w:color="auto" w:sz="2" w:space="0"/>
            </w:tcBorders>
            <w:vAlign w:val="center"/>
          </w:tcPr>
          <w:p w14:paraId="57F0DEF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22,811,118.65</w:t>
            </w:r>
          </w:p>
        </w:tc>
      </w:tr>
      <w:tr w14:paraId="5DA589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01647D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折旧摊销费</w:t>
            </w:r>
          </w:p>
        </w:tc>
        <w:tc>
          <w:tcPr>
            <w:tcW w:w="3213" w:type="dxa"/>
            <w:tcBorders>
              <w:top w:val="single" w:color="auto" w:sz="2" w:space="0"/>
              <w:left w:val="single" w:color="auto" w:sz="2" w:space="0"/>
              <w:bottom w:val="single" w:color="auto" w:sz="2" w:space="0"/>
              <w:right w:val="single" w:color="auto" w:sz="2" w:space="0"/>
            </w:tcBorders>
            <w:vAlign w:val="center"/>
          </w:tcPr>
          <w:p w14:paraId="5E85FEF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18,598,728.83</w:t>
            </w:r>
          </w:p>
        </w:tc>
        <w:tc>
          <w:tcPr>
            <w:tcW w:w="3213" w:type="dxa"/>
            <w:tcBorders>
              <w:top w:val="single" w:color="auto" w:sz="2" w:space="0"/>
              <w:left w:val="single" w:color="auto" w:sz="2" w:space="0"/>
              <w:bottom w:val="single" w:color="auto" w:sz="2" w:space="0"/>
              <w:right w:val="single" w:color="auto" w:sz="2" w:space="0"/>
            </w:tcBorders>
            <w:vAlign w:val="center"/>
          </w:tcPr>
          <w:p w14:paraId="4F335D6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18,247,732.91</w:t>
            </w:r>
          </w:p>
        </w:tc>
      </w:tr>
      <w:tr w14:paraId="63D917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4EA0EB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中介咨询费</w:t>
            </w:r>
          </w:p>
        </w:tc>
        <w:tc>
          <w:tcPr>
            <w:tcW w:w="3213" w:type="dxa"/>
            <w:tcBorders>
              <w:top w:val="single" w:color="auto" w:sz="2" w:space="0"/>
              <w:left w:val="single" w:color="auto" w:sz="2" w:space="0"/>
              <w:bottom w:val="single" w:color="auto" w:sz="2" w:space="0"/>
              <w:right w:val="single" w:color="auto" w:sz="2" w:space="0"/>
            </w:tcBorders>
            <w:vAlign w:val="center"/>
          </w:tcPr>
          <w:p w14:paraId="5E9724C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2,564,019.98</w:t>
            </w:r>
          </w:p>
        </w:tc>
        <w:tc>
          <w:tcPr>
            <w:tcW w:w="3213" w:type="dxa"/>
            <w:tcBorders>
              <w:top w:val="single" w:color="auto" w:sz="2" w:space="0"/>
              <w:left w:val="single" w:color="auto" w:sz="2" w:space="0"/>
              <w:bottom w:val="single" w:color="auto" w:sz="2" w:space="0"/>
              <w:right w:val="single" w:color="auto" w:sz="2" w:space="0"/>
            </w:tcBorders>
            <w:vAlign w:val="center"/>
          </w:tcPr>
          <w:p w14:paraId="1AAA4C3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4,718,508.73</w:t>
            </w:r>
          </w:p>
        </w:tc>
      </w:tr>
      <w:tr w14:paraId="4B6CD7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21827E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房租物业费</w:t>
            </w:r>
          </w:p>
        </w:tc>
        <w:tc>
          <w:tcPr>
            <w:tcW w:w="3213" w:type="dxa"/>
            <w:tcBorders>
              <w:top w:val="single" w:color="auto" w:sz="2" w:space="0"/>
              <w:left w:val="single" w:color="auto" w:sz="2" w:space="0"/>
              <w:bottom w:val="single" w:color="auto" w:sz="2" w:space="0"/>
              <w:right w:val="single" w:color="auto" w:sz="2" w:space="0"/>
            </w:tcBorders>
            <w:vAlign w:val="center"/>
          </w:tcPr>
          <w:p w14:paraId="4F770FB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1,056,028.63</w:t>
            </w:r>
          </w:p>
        </w:tc>
        <w:tc>
          <w:tcPr>
            <w:tcW w:w="3213" w:type="dxa"/>
            <w:tcBorders>
              <w:top w:val="single" w:color="auto" w:sz="2" w:space="0"/>
              <w:left w:val="single" w:color="auto" w:sz="2" w:space="0"/>
              <w:bottom w:val="single" w:color="auto" w:sz="2" w:space="0"/>
              <w:right w:val="single" w:color="auto" w:sz="2" w:space="0"/>
            </w:tcBorders>
            <w:vAlign w:val="center"/>
          </w:tcPr>
          <w:p w14:paraId="2DE5D6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1,017,117.29</w:t>
            </w:r>
          </w:p>
        </w:tc>
      </w:tr>
      <w:tr w14:paraId="3B108C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DAA2EE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业务招待费</w:t>
            </w:r>
          </w:p>
        </w:tc>
        <w:tc>
          <w:tcPr>
            <w:tcW w:w="3213" w:type="dxa"/>
            <w:tcBorders>
              <w:top w:val="single" w:color="auto" w:sz="2" w:space="0"/>
              <w:left w:val="single" w:color="auto" w:sz="2" w:space="0"/>
              <w:bottom w:val="single" w:color="auto" w:sz="2" w:space="0"/>
              <w:right w:val="single" w:color="auto" w:sz="2" w:space="0"/>
            </w:tcBorders>
            <w:vAlign w:val="center"/>
          </w:tcPr>
          <w:p w14:paraId="5A872B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1,279,790.62</w:t>
            </w:r>
          </w:p>
        </w:tc>
        <w:tc>
          <w:tcPr>
            <w:tcW w:w="3213" w:type="dxa"/>
            <w:tcBorders>
              <w:top w:val="single" w:color="auto" w:sz="2" w:space="0"/>
              <w:left w:val="single" w:color="auto" w:sz="2" w:space="0"/>
              <w:bottom w:val="single" w:color="auto" w:sz="2" w:space="0"/>
              <w:right w:val="single" w:color="auto" w:sz="2" w:space="0"/>
            </w:tcBorders>
            <w:vAlign w:val="center"/>
          </w:tcPr>
          <w:p w14:paraId="2D0DC1B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1,109,350.77</w:t>
            </w:r>
          </w:p>
        </w:tc>
      </w:tr>
      <w:tr w14:paraId="7BF869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E14845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交通差旅费</w:t>
            </w:r>
          </w:p>
        </w:tc>
        <w:tc>
          <w:tcPr>
            <w:tcW w:w="3213" w:type="dxa"/>
            <w:tcBorders>
              <w:top w:val="single" w:color="auto" w:sz="2" w:space="0"/>
              <w:left w:val="single" w:color="auto" w:sz="2" w:space="0"/>
              <w:bottom w:val="single" w:color="auto" w:sz="2" w:space="0"/>
              <w:right w:val="single" w:color="auto" w:sz="2" w:space="0"/>
            </w:tcBorders>
            <w:vAlign w:val="center"/>
          </w:tcPr>
          <w:p w14:paraId="774DE3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1,352,265.67</w:t>
            </w:r>
          </w:p>
        </w:tc>
        <w:tc>
          <w:tcPr>
            <w:tcW w:w="3213" w:type="dxa"/>
            <w:tcBorders>
              <w:top w:val="single" w:color="auto" w:sz="2" w:space="0"/>
              <w:left w:val="single" w:color="auto" w:sz="2" w:space="0"/>
              <w:bottom w:val="single" w:color="auto" w:sz="2" w:space="0"/>
              <w:right w:val="single" w:color="auto" w:sz="2" w:space="0"/>
            </w:tcBorders>
            <w:vAlign w:val="center"/>
          </w:tcPr>
          <w:p w14:paraId="3481FD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1,334,709.45</w:t>
            </w:r>
          </w:p>
        </w:tc>
      </w:tr>
      <w:tr w14:paraId="1D94C3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A6C689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5D0358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894,162.95</w:t>
            </w:r>
          </w:p>
        </w:tc>
        <w:tc>
          <w:tcPr>
            <w:tcW w:w="3213" w:type="dxa"/>
            <w:tcBorders>
              <w:top w:val="single" w:color="auto" w:sz="2" w:space="0"/>
              <w:left w:val="single" w:color="auto" w:sz="2" w:space="0"/>
              <w:bottom w:val="single" w:color="auto" w:sz="2" w:space="0"/>
              <w:right w:val="single" w:color="auto" w:sz="2" w:space="0"/>
            </w:tcBorders>
            <w:vAlign w:val="center"/>
          </w:tcPr>
          <w:p w14:paraId="7B3F4A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915,197.81</w:t>
            </w:r>
          </w:p>
        </w:tc>
      </w:tr>
      <w:tr w14:paraId="566D7A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FD0548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物料</w:t>
            </w:r>
          </w:p>
        </w:tc>
        <w:tc>
          <w:tcPr>
            <w:tcW w:w="3213" w:type="dxa"/>
            <w:tcBorders>
              <w:top w:val="single" w:color="auto" w:sz="2" w:space="0"/>
              <w:left w:val="single" w:color="auto" w:sz="2" w:space="0"/>
              <w:bottom w:val="single" w:color="auto" w:sz="2" w:space="0"/>
              <w:right w:val="single" w:color="auto" w:sz="2" w:space="0"/>
            </w:tcBorders>
            <w:vAlign w:val="center"/>
          </w:tcPr>
          <w:p w14:paraId="24BE414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342,854.00</w:t>
            </w:r>
          </w:p>
        </w:tc>
        <w:tc>
          <w:tcPr>
            <w:tcW w:w="3213" w:type="dxa"/>
            <w:tcBorders>
              <w:top w:val="single" w:color="auto" w:sz="2" w:space="0"/>
              <w:left w:val="single" w:color="auto" w:sz="2" w:space="0"/>
              <w:bottom w:val="single" w:color="auto" w:sz="2" w:space="0"/>
              <w:right w:val="single" w:color="auto" w:sz="2" w:space="0"/>
            </w:tcBorders>
            <w:vAlign w:val="center"/>
          </w:tcPr>
          <w:p w14:paraId="282243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141,513.23</w:t>
            </w:r>
          </w:p>
        </w:tc>
      </w:tr>
      <w:tr w14:paraId="618679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41ACAC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52C772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4,377,637.95</w:t>
            </w:r>
          </w:p>
        </w:tc>
        <w:tc>
          <w:tcPr>
            <w:tcW w:w="3213" w:type="dxa"/>
            <w:tcBorders>
              <w:top w:val="single" w:color="auto" w:sz="2" w:space="0"/>
              <w:left w:val="single" w:color="auto" w:sz="2" w:space="0"/>
              <w:bottom w:val="single" w:color="auto" w:sz="2" w:space="0"/>
              <w:right w:val="single" w:color="auto" w:sz="2" w:space="0"/>
            </w:tcBorders>
            <w:vAlign w:val="center"/>
          </w:tcPr>
          <w:p w14:paraId="0FC682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2,462,694.67</w:t>
            </w:r>
          </w:p>
        </w:tc>
      </w:tr>
      <w:tr w14:paraId="3B8D99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5A0148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会议费</w:t>
            </w:r>
          </w:p>
        </w:tc>
        <w:tc>
          <w:tcPr>
            <w:tcW w:w="3213" w:type="dxa"/>
            <w:tcBorders>
              <w:top w:val="single" w:color="auto" w:sz="2" w:space="0"/>
              <w:left w:val="single" w:color="auto" w:sz="2" w:space="0"/>
              <w:bottom w:val="single" w:color="auto" w:sz="2" w:space="0"/>
              <w:right w:val="single" w:color="auto" w:sz="2" w:space="0"/>
            </w:tcBorders>
            <w:vAlign w:val="center"/>
          </w:tcPr>
          <w:p w14:paraId="276C695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354110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50,207.63</w:t>
            </w:r>
          </w:p>
        </w:tc>
      </w:tr>
      <w:tr w14:paraId="7F6D33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5272F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16486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50,679,223.14</w:t>
            </w:r>
          </w:p>
        </w:tc>
        <w:tc>
          <w:tcPr>
            <w:tcW w:w="3213" w:type="dxa"/>
            <w:tcBorders>
              <w:top w:val="single" w:color="auto" w:sz="2" w:space="0"/>
              <w:left w:val="single" w:color="auto" w:sz="2" w:space="0"/>
              <w:bottom w:val="single" w:color="auto" w:sz="2" w:space="0"/>
              <w:right w:val="single" w:color="auto" w:sz="2" w:space="0"/>
            </w:tcBorders>
            <w:vAlign w:val="center"/>
          </w:tcPr>
          <w:p w14:paraId="01641D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52,808,151.14</w:t>
            </w:r>
          </w:p>
        </w:tc>
      </w:tr>
    </w:tbl>
    <w:p w14:paraId="1473BC1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5A40B27A">
      <w:pPr>
        <w:keepNext/>
        <w:keepLines/>
        <w:spacing w:before="300" w:after="300" w:line="280" w:lineRule="exact"/>
        <w:jc w:val="left"/>
        <w:outlineLvl w:val="2"/>
        <w:rPr>
          <w:rFonts w:ascii="宋体" w:hAnsi="宋体" w:eastAsia="宋体" w:cs="宋体"/>
          <w:b/>
          <w:bCs/>
          <w:color w:val="auto"/>
          <w:sz w:val="21"/>
          <w:szCs w:val="21"/>
        </w:rPr>
      </w:pPr>
      <w:bookmarkStart w:id="265" w:name="_Toc989241"/>
      <w:r>
        <w:rPr>
          <w:rFonts w:ascii="宋体" w:hAnsi="宋体" w:eastAsia="宋体" w:cs="宋体"/>
          <w:b/>
          <w:bCs/>
          <w:color w:val="auto"/>
          <w:sz w:val="21"/>
          <w:szCs w:val="21"/>
        </w:rPr>
        <w:t>64、销售费用</w:t>
      </w:r>
      <w:bookmarkEnd w:id="265"/>
    </w:p>
    <w:p w14:paraId="1D096C9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E06A8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3C04B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2274F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956FA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701AF5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626D11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市场费用</w:t>
            </w:r>
          </w:p>
        </w:tc>
        <w:tc>
          <w:tcPr>
            <w:tcW w:w="3213" w:type="dxa"/>
            <w:tcBorders>
              <w:top w:val="single" w:color="auto" w:sz="2" w:space="0"/>
              <w:left w:val="single" w:color="auto" w:sz="2" w:space="0"/>
              <w:bottom w:val="single" w:color="auto" w:sz="2" w:space="0"/>
              <w:right w:val="single" w:color="auto" w:sz="2" w:space="0"/>
            </w:tcBorders>
            <w:vAlign w:val="center"/>
          </w:tcPr>
          <w:p w14:paraId="3BB694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63,747,821.82</w:t>
            </w:r>
          </w:p>
        </w:tc>
        <w:tc>
          <w:tcPr>
            <w:tcW w:w="3213" w:type="dxa"/>
            <w:tcBorders>
              <w:top w:val="single" w:color="auto" w:sz="2" w:space="0"/>
              <w:left w:val="single" w:color="auto" w:sz="2" w:space="0"/>
              <w:bottom w:val="single" w:color="auto" w:sz="2" w:space="0"/>
              <w:right w:val="single" w:color="auto" w:sz="2" w:space="0"/>
            </w:tcBorders>
            <w:vAlign w:val="center"/>
          </w:tcPr>
          <w:p w14:paraId="78AD58F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62,429,843.35</w:t>
            </w:r>
          </w:p>
        </w:tc>
      </w:tr>
      <w:tr w14:paraId="074279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BB197B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4AB1E8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30,275,967.81</w:t>
            </w:r>
          </w:p>
        </w:tc>
        <w:tc>
          <w:tcPr>
            <w:tcW w:w="3213" w:type="dxa"/>
            <w:tcBorders>
              <w:top w:val="single" w:color="auto" w:sz="2" w:space="0"/>
              <w:left w:val="single" w:color="auto" w:sz="2" w:space="0"/>
              <w:bottom w:val="single" w:color="auto" w:sz="2" w:space="0"/>
              <w:right w:val="single" w:color="auto" w:sz="2" w:space="0"/>
            </w:tcBorders>
            <w:vAlign w:val="center"/>
          </w:tcPr>
          <w:p w14:paraId="4D6EB8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23,861,125.08</w:t>
            </w:r>
          </w:p>
        </w:tc>
      </w:tr>
      <w:tr w14:paraId="068F31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A13FFA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交通差旅费</w:t>
            </w:r>
          </w:p>
        </w:tc>
        <w:tc>
          <w:tcPr>
            <w:tcW w:w="3213" w:type="dxa"/>
            <w:tcBorders>
              <w:top w:val="single" w:color="auto" w:sz="2" w:space="0"/>
              <w:left w:val="single" w:color="auto" w:sz="2" w:space="0"/>
              <w:bottom w:val="single" w:color="auto" w:sz="2" w:space="0"/>
              <w:right w:val="single" w:color="auto" w:sz="2" w:space="0"/>
            </w:tcBorders>
            <w:vAlign w:val="center"/>
          </w:tcPr>
          <w:p w14:paraId="714B03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3,582,385.71</w:t>
            </w:r>
          </w:p>
        </w:tc>
        <w:tc>
          <w:tcPr>
            <w:tcW w:w="3213" w:type="dxa"/>
            <w:tcBorders>
              <w:top w:val="single" w:color="auto" w:sz="2" w:space="0"/>
              <w:left w:val="single" w:color="auto" w:sz="2" w:space="0"/>
              <w:bottom w:val="single" w:color="auto" w:sz="2" w:space="0"/>
              <w:right w:val="single" w:color="auto" w:sz="2" w:space="0"/>
            </w:tcBorders>
            <w:vAlign w:val="center"/>
          </w:tcPr>
          <w:p w14:paraId="1BABA6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1,911,494.25</w:t>
            </w:r>
          </w:p>
        </w:tc>
      </w:tr>
      <w:tr w14:paraId="1EA750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5E253F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招待费用</w:t>
            </w:r>
          </w:p>
        </w:tc>
        <w:tc>
          <w:tcPr>
            <w:tcW w:w="3213" w:type="dxa"/>
            <w:tcBorders>
              <w:top w:val="single" w:color="auto" w:sz="2" w:space="0"/>
              <w:left w:val="single" w:color="auto" w:sz="2" w:space="0"/>
              <w:bottom w:val="single" w:color="auto" w:sz="2" w:space="0"/>
              <w:right w:val="single" w:color="auto" w:sz="2" w:space="0"/>
            </w:tcBorders>
            <w:vAlign w:val="center"/>
          </w:tcPr>
          <w:p w14:paraId="60D30DA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1,294,690.35</w:t>
            </w:r>
          </w:p>
        </w:tc>
        <w:tc>
          <w:tcPr>
            <w:tcW w:w="3213" w:type="dxa"/>
            <w:tcBorders>
              <w:top w:val="single" w:color="auto" w:sz="2" w:space="0"/>
              <w:left w:val="single" w:color="auto" w:sz="2" w:space="0"/>
              <w:bottom w:val="single" w:color="auto" w:sz="2" w:space="0"/>
              <w:right w:val="single" w:color="auto" w:sz="2" w:space="0"/>
            </w:tcBorders>
            <w:vAlign w:val="center"/>
          </w:tcPr>
          <w:p w14:paraId="06CB695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1,330,778.89</w:t>
            </w:r>
          </w:p>
        </w:tc>
      </w:tr>
      <w:tr w14:paraId="57E517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D38D95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物业租金</w:t>
            </w:r>
          </w:p>
        </w:tc>
        <w:tc>
          <w:tcPr>
            <w:tcW w:w="3213" w:type="dxa"/>
            <w:tcBorders>
              <w:top w:val="single" w:color="auto" w:sz="2" w:space="0"/>
              <w:left w:val="single" w:color="auto" w:sz="2" w:space="0"/>
              <w:bottom w:val="single" w:color="auto" w:sz="2" w:space="0"/>
              <w:right w:val="single" w:color="auto" w:sz="2" w:space="0"/>
            </w:tcBorders>
            <w:vAlign w:val="center"/>
          </w:tcPr>
          <w:p w14:paraId="27178B3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121,675.33</w:t>
            </w:r>
          </w:p>
        </w:tc>
        <w:tc>
          <w:tcPr>
            <w:tcW w:w="3213" w:type="dxa"/>
            <w:tcBorders>
              <w:top w:val="single" w:color="auto" w:sz="2" w:space="0"/>
              <w:left w:val="single" w:color="auto" w:sz="2" w:space="0"/>
              <w:bottom w:val="single" w:color="auto" w:sz="2" w:space="0"/>
              <w:right w:val="single" w:color="auto" w:sz="2" w:space="0"/>
            </w:tcBorders>
            <w:vAlign w:val="center"/>
          </w:tcPr>
          <w:p w14:paraId="3A2079D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97,511.82</w:t>
            </w:r>
          </w:p>
        </w:tc>
      </w:tr>
      <w:tr w14:paraId="1B1E50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C92B57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550F64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447,268.56</w:t>
            </w:r>
          </w:p>
        </w:tc>
        <w:tc>
          <w:tcPr>
            <w:tcW w:w="3213" w:type="dxa"/>
            <w:tcBorders>
              <w:top w:val="single" w:color="auto" w:sz="2" w:space="0"/>
              <w:left w:val="single" w:color="auto" w:sz="2" w:space="0"/>
              <w:bottom w:val="single" w:color="auto" w:sz="2" w:space="0"/>
              <w:right w:val="single" w:color="auto" w:sz="2" w:space="0"/>
            </w:tcBorders>
            <w:vAlign w:val="center"/>
          </w:tcPr>
          <w:p w14:paraId="31669B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329,044.01</w:t>
            </w:r>
          </w:p>
        </w:tc>
      </w:tr>
      <w:tr w14:paraId="4FC19E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A8464C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折旧摊销费</w:t>
            </w:r>
          </w:p>
        </w:tc>
        <w:tc>
          <w:tcPr>
            <w:tcW w:w="3213" w:type="dxa"/>
            <w:tcBorders>
              <w:top w:val="single" w:color="auto" w:sz="2" w:space="0"/>
              <w:left w:val="single" w:color="auto" w:sz="2" w:space="0"/>
              <w:bottom w:val="single" w:color="auto" w:sz="2" w:space="0"/>
              <w:right w:val="single" w:color="auto" w:sz="2" w:space="0"/>
            </w:tcBorders>
            <w:vAlign w:val="center"/>
          </w:tcPr>
          <w:p w14:paraId="324D1A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696,180.76</w:t>
            </w:r>
          </w:p>
        </w:tc>
        <w:tc>
          <w:tcPr>
            <w:tcW w:w="3213" w:type="dxa"/>
            <w:tcBorders>
              <w:top w:val="single" w:color="auto" w:sz="2" w:space="0"/>
              <w:left w:val="single" w:color="auto" w:sz="2" w:space="0"/>
              <w:bottom w:val="single" w:color="auto" w:sz="2" w:space="0"/>
              <w:right w:val="single" w:color="auto" w:sz="2" w:space="0"/>
            </w:tcBorders>
            <w:vAlign w:val="center"/>
          </w:tcPr>
          <w:p w14:paraId="177E33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673,921.14</w:t>
            </w:r>
          </w:p>
        </w:tc>
      </w:tr>
      <w:tr w14:paraId="74C983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60CEC0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6ACD9D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155,280.31</w:t>
            </w:r>
          </w:p>
        </w:tc>
        <w:tc>
          <w:tcPr>
            <w:tcW w:w="3213" w:type="dxa"/>
            <w:tcBorders>
              <w:top w:val="single" w:color="auto" w:sz="2" w:space="0"/>
              <w:left w:val="single" w:color="auto" w:sz="2" w:space="0"/>
              <w:bottom w:val="single" w:color="auto" w:sz="2" w:space="0"/>
              <w:right w:val="single" w:color="auto" w:sz="2" w:space="0"/>
            </w:tcBorders>
            <w:vAlign w:val="center"/>
          </w:tcPr>
          <w:p w14:paraId="17AD6A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233,018.34</w:t>
            </w:r>
          </w:p>
        </w:tc>
      </w:tr>
      <w:tr w14:paraId="1C8942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C272E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5C3EC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100,321,270.65</w:t>
            </w:r>
          </w:p>
        </w:tc>
        <w:tc>
          <w:tcPr>
            <w:tcW w:w="3213" w:type="dxa"/>
            <w:tcBorders>
              <w:top w:val="single" w:color="auto" w:sz="2" w:space="0"/>
              <w:left w:val="single" w:color="auto" w:sz="2" w:space="0"/>
              <w:bottom w:val="single" w:color="auto" w:sz="2" w:space="0"/>
              <w:right w:val="single" w:color="auto" w:sz="2" w:space="0"/>
            </w:tcBorders>
            <w:vAlign w:val="center"/>
          </w:tcPr>
          <w:p w14:paraId="51DC39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90,866,736.88</w:t>
            </w:r>
          </w:p>
        </w:tc>
      </w:tr>
    </w:tbl>
    <w:p w14:paraId="2623A8C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F301D34">
      <w:pPr>
        <w:keepNext/>
        <w:keepLines/>
        <w:spacing w:before="300" w:after="300" w:line="280" w:lineRule="exact"/>
        <w:jc w:val="left"/>
        <w:outlineLvl w:val="2"/>
        <w:rPr>
          <w:rFonts w:ascii="宋体" w:hAnsi="宋体" w:eastAsia="宋体" w:cs="宋体"/>
          <w:b/>
          <w:bCs/>
          <w:color w:val="auto"/>
          <w:sz w:val="21"/>
          <w:szCs w:val="21"/>
        </w:rPr>
      </w:pPr>
      <w:bookmarkStart w:id="266" w:name="_Toc989242"/>
      <w:r>
        <w:rPr>
          <w:rFonts w:ascii="宋体" w:hAnsi="宋体" w:eastAsia="宋体" w:cs="宋体"/>
          <w:b/>
          <w:bCs/>
          <w:color w:val="auto"/>
          <w:sz w:val="21"/>
          <w:szCs w:val="21"/>
        </w:rPr>
        <w:t>65、研发费用</w:t>
      </w:r>
      <w:bookmarkEnd w:id="266"/>
    </w:p>
    <w:p w14:paraId="5C5F81B1">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3A1AE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83D0B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1554D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851CD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44C098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E79255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技术服务费</w:t>
            </w:r>
          </w:p>
        </w:tc>
        <w:tc>
          <w:tcPr>
            <w:tcW w:w="3213" w:type="dxa"/>
            <w:tcBorders>
              <w:top w:val="single" w:color="auto" w:sz="2" w:space="0"/>
              <w:left w:val="single" w:color="auto" w:sz="2" w:space="0"/>
              <w:bottom w:val="single" w:color="auto" w:sz="2" w:space="0"/>
              <w:right w:val="single" w:color="auto" w:sz="2" w:space="0"/>
            </w:tcBorders>
            <w:vAlign w:val="center"/>
          </w:tcPr>
          <w:p w14:paraId="2442551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3,397,164.73</w:t>
            </w:r>
          </w:p>
        </w:tc>
        <w:tc>
          <w:tcPr>
            <w:tcW w:w="3213" w:type="dxa"/>
            <w:tcBorders>
              <w:top w:val="single" w:color="auto" w:sz="2" w:space="0"/>
              <w:left w:val="single" w:color="auto" w:sz="2" w:space="0"/>
              <w:bottom w:val="single" w:color="auto" w:sz="2" w:space="0"/>
              <w:right w:val="single" w:color="auto" w:sz="2" w:space="0"/>
            </w:tcBorders>
            <w:vAlign w:val="center"/>
          </w:tcPr>
          <w:p w14:paraId="199715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2,854,751.81</w:t>
            </w:r>
          </w:p>
        </w:tc>
      </w:tr>
      <w:tr w14:paraId="4DD6C0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53E686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研发领用原料及低值易耗品</w:t>
            </w:r>
          </w:p>
        </w:tc>
        <w:tc>
          <w:tcPr>
            <w:tcW w:w="3213" w:type="dxa"/>
            <w:tcBorders>
              <w:top w:val="single" w:color="auto" w:sz="2" w:space="0"/>
              <w:left w:val="single" w:color="auto" w:sz="2" w:space="0"/>
              <w:bottom w:val="single" w:color="auto" w:sz="2" w:space="0"/>
              <w:right w:val="single" w:color="auto" w:sz="2" w:space="0"/>
            </w:tcBorders>
            <w:vAlign w:val="center"/>
          </w:tcPr>
          <w:p w14:paraId="1A7C0F9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1,962,018.09</w:t>
            </w:r>
          </w:p>
        </w:tc>
        <w:tc>
          <w:tcPr>
            <w:tcW w:w="3213" w:type="dxa"/>
            <w:tcBorders>
              <w:top w:val="single" w:color="auto" w:sz="2" w:space="0"/>
              <w:left w:val="single" w:color="auto" w:sz="2" w:space="0"/>
              <w:bottom w:val="single" w:color="auto" w:sz="2" w:space="0"/>
              <w:right w:val="single" w:color="auto" w:sz="2" w:space="0"/>
            </w:tcBorders>
            <w:vAlign w:val="center"/>
          </w:tcPr>
          <w:p w14:paraId="1C39BBB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743,653.08</w:t>
            </w:r>
          </w:p>
        </w:tc>
      </w:tr>
      <w:tr w14:paraId="0A270E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17DE88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5B2BB8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5,739,577.42</w:t>
            </w:r>
          </w:p>
        </w:tc>
        <w:tc>
          <w:tcPr>
            <w:tcW w:w="3213" w:type="dxa"/>
            <w:tcBorders>
              <w:top w:val="single" w:color="auto" w:sz="2" w:space="0"/>
              <w:left w:val="single" w:color="auto" w:sz="2" w:space="0"/>
              <w:bottom w:val="single" w:color="auto" w:sz="2" w:space="0"/>
              <w:right w:val="single" w:color="auto" w:sz="2" w:space="0"/>
            </w:tcBorders>
            <w:vAlign w:val="center"/>
          </w:tcPr>
          <w:p w14:paraId="2E106F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7,613,100.50</w:t>
            </w:r>
          </w:p>
        </w:tc>
      </w:tr>
      <w:tr w14:paraId="40F763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D5685B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折旧摊销费</w:t>
            </w:r>
          </w:p>
        </w:tc>
        <w:tc>
          <w:tcPr>
            <w:tcW w:w="3213" w:type="dxa"/>
            <w:tcBorders>
              <w:top w:val="single" w:color="auto" w:sz="2" w:space="0"/>
              <w:left w:val="single" w:color="auto" w:sz="2" w:space="0"/>
              <w:bottom w:val="single" w:color="auto" w:sz="2" w:space="0"/>
              <w:right w:val="single" w:color="auto" w:sz="2" w:space="0"/>
            </w:tcBorders>
            <w:vAlign w:val="center"/>
          </w:tcPr>
          <w:p w14:paraId="51C28A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965,630.98</w:t>
            </w:r>
          </w:p>
        </w:tc>
        <w:tc>
          <w:tcPr>
            <w:tcW w:w="3213" w:type="dxa"/>
            <w:tcBorders>
              <w:top w:val="single" w:color="auto" w:sz="2" w:space="0"/>
              <w:left w:val="single" w:color="auto" w:sz="2" w:space="0"/>
              <w:bottom w:val="single" w:color="auto" w:sz="2" w:space="0"/>
              <w:right w:val="single" w:color="auto" w:sz="2" w:space="0"/>
            </w:tcBorders>
            <w:vAlign w:val="center"/>
          </w:tcPr>
          <w:p w14:paraId="40E94F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1,214,664.60</w:t>
            </w:r>
          </w:p>
        </w:tc>
      </w:tr>
      <w:tr w14:paraId="5804EC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F72C98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交通差旅费</w:t>
            </w:r>
          </w:p>
        </w:tc>
        <w:tc>
          <w:tcPr>
            <w:tcW w:w="3213" w:type="dxa"/>
            <w:tcBorders>
              <w:top w:val="single" w:color="auto" w:sz="2" w:space="0"/>
              <w:left w:val="single" w:color="auto" w:sz="2" w:space="0"/>
              <w:bottom w:val="single" w:color="auto" w:sz="2" w:space="0"/>
              <w:right w:val="single" w:color="auto" w:sz="2" w:space="0"/>
            </w:tcBorders>
            <w:vAlign w:val="center"/>
          </w:tcPr>
          <w:p w14:paraId="7388657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334,013.94</w:t>
            </w:r>
          </w:p>
        </w:tc>
        <w:tc>
          <w:tcPr>
            <w:tcW w:w="3213" w:type="dxa"/>
            <w:tcBorders>
              <w:top w:val="single" w:color="auto" w:sz="2" w:space="0"/>
              <w:left w:val="single" w:color="auto" w:sz="2" w:space="0"/>
              <w:bottom w:val="single" w:color="auto" w:sz="2" w:space="0"/>
              <w:right w:val="single" w:color="auto" w:sz="2" w:space="0"/>
            </w:tcBorders>
            <w:vAlign w:val="center"/>
          </w:tcPr>
          <w:p w14:paraId="3D5A4F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154,683.41</w:t>
            </w:r>
          </w:p>
        </w:tc>
      </w:tr>
      <w:tr w14:paraId="141761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8D5245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房租物业费</w:t>
            </w:r>
          </w:p>
        </w:tc>
        <w:tc>
          <w:tcPr>
            <w:tcW w:w="3213" w:type="dxa"/>
            <w:tcBorders>
              <w:top w:val="single" w:color="auto" w:sz="2" w:space="0"/>
              <w:left w:val="single" w:color="auto" w:sz="2" w:space="0"/>
              <w:bottom w:val="single" w:color="auto" w:sz="2" w:space="0"/>
              <w:right w:val="single" w:color="auto" w:sz="2" w:space="0"/>
            </w:tcBorders>
            <w:vAlign w:val="center"/>
          </w:tcPr>
          <w:p w14:paraId="5EF201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87,060.25</w:t>
            </w:r>
          </w:p>
        </w:tc>
        <w:tc>
          <w:tcPr>
            <w:tcW w:w="3213" w:type="dxa"/>
            <w:tcBorders>
              <w:top w:val="single" w:color="auto" w:sz="2" w:space="0"/>
              <w:left w:val="single" w:color="auto" w:sz="2" w:space="0"/>
              <w:bottom w:val="single" w:color="auto" w:sz="2" w:space="0"/>
              <w:right w:val="single" w:color="auto" w:sz="2" w:space="0"/>
            </w:tcBorders>
            <w:vAlign w:val="center"/>
          </w:tcPr>
          <w:p w14:paraId="6683122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119,521.00</w:t>
            </w:r>
          </w:p>
        </w:tc>
      </w:tr>
      <w:tr w14:paraId="02B3B6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590F5C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会议费用</w:t>
            </w:r>
          </w:p>
        </w:tc>
        <w:tc>
          <w:tcPr>
            <w:tcW w:w="3213" w:type="dxa"/>
            <w:tcBorders>
              <w:top w:val="single" w:color="auto" w:sz="2" w:space="0"/>
              <w:left w:val="single" w:color="auto" w:sz="2" w:space="0"/>
              <w:bottom w:val="single" w:color="auto" w:sz="2" w:space="0"/>
              <w:right w:val="single" w:color="auto" w:sz="2" w:space="0"/>
            </w:tcBorders>
            <w:vAlign w:val="center"/>
          </w:tcPr>
          <w:p w14:paraId="40F71FE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382,119.24</w:t>
            </w:r>
          </w:p>
        </w:tc>
        <w:tc>
          <w:tcPr>
            <w:tcW w:w="3213" w:type="dxa"/>
            <w:tcBorders>
              <w:top w:val="single" w:color="auto" w:sz="2" w:space="0"/>
              <w:left w:val="single" w:color="auto" w:sz="2" w:space="0"/>
              <w:bottom w:val="single" w:color="auto" w:sz="2" w:space="0"/>
              <w:right w:val="single" w:color="auto" w:sz="2" w:space="0"/>
            </w:tcBorders>
            <w:vAlign w:val="center"/>
          </w:tcPr>
          <w:p w14:paraId="364ECCA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15,573.86</w:t>
            </w:r>
          </w:p>
        </w:tc>
      </w:tr>
      <w:tr w14:paraId="4EB751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BC916E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194C017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38,567.65</w:t>
            </w:r>
          </w:p>
        </w:tc>
        <w:tc>
          <w:tcPr>
            <w:tcW w:w="3213" w:type="dxa"/>
            <w:tcBorders>
              <w:top w:val="single" w:color="auto" w:sz="2" w:space="0"/>
              <w:left w:val="single" w:color="auto" w:sz="2" w:space="0"/>
              <w:bottom w:val="single" w:color="auto" w:sz="2" w:space="0"/>
              <w:right w:val="single" w:color="auto" w:sz="2" w:space="0"/>
            </w:tcBorders>
            <w:vAlign w:val="center"/>
          </w:tcPr>
          <w:p w14:paraId="33BBB91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124,890.93</w:t>
            </w:r>
          </w:p>
        </w:tc>
      </w:tr>
      <w:tr w14:paraId="70EA8E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3E3B0B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专利申请费</w:t>
            </w:r>
          </w:p>
        </w:tc>
        <w:tc>
          <w:tcPr>
            <w:tcW w:w="3213" w:type="dxa"/>
            <w:tcBorders>
              <w:top w:val="single" w:color="auto" w:sz="2" w:space="0"/>
              <w:left w:val="single" w:color="auto" w:sz="2" w:space="0"/>
              <w:bottom w:val="single" w:color="auto" w:sz="2" w:space="0"/>
              <w:right w:val="single" w:color="auto" w:sz="2" w:space="0"/>
            </w:tcBorders>
            <w:vAlign w:val="center"/>
          </w:tcPr>
          <w:p w14:paraId="616E93A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983,431.51</w:t>
            </w:r>
          </w:p>
        </w:tc>
        <w:tc>
          <w:tcPr>
            <w:tcW w:w="3213" w:type="dxa"/>
            <w:tcBorders>
              <w:top w:val="single" w:color="auto" w:sz="2" w:space="0"/>
              <w:left w:val="single" w:color="auto" w:sz="2" w:space="0"/>
              <w:bottom w:val="single" w:color="auto" w:sz="2" w:space="0"/>
              <w:right w:val="single" w:color="auto" w:sz="2" w:space="0"/>
            </w:tcBorders>
            <w:vAlign w:val="center"/>
          </w:tcPr>
          <w:p w14:paraId="313475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855,962.23</w:t>
            </w:r>
          </w:p>
        </w:tc>
      </w:tr>
      <w:tr w14:paraId="4669E3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497FB7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39B5F2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868,743.29</w:t>
            </w:r>
          </w:p>
        </w:tc>
        <w:tc>
          <w:tcPr>
            <w:tcW w:w="3213" w:type="dxa"/>
            <w:tcBorders>
              <w:top w:val="single" w:color="auto" w:sz="2" w:space="0"/>
              <w:left w:val="single" w:color="auto" w:sz="2" w:space="0"/>
              <w:bottom w:val="single" w:color="auto" w:sz="2" w:space="0"/>
              <w:right w:val="single" w:color="auto" w:sz="2" w:space="0"/>
            </w:tcBorders>
            <w:vAlign w:val="center"/>
          </w:tcPr>
          <w:p w14:paraId="30623EF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670,917.75</w:t>
            </w:r>
          </w:p>
        </w:tc>
      </w:tr>
      <w:tr w14:paraId="3DFD36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F3808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A2D44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14,758,327.10</w:t>
            </w:r>
          </w:p>
        </w:tc>
        <w:tc>
          <w:tcPr>
            <w:tcW w:w="3213" w:type="dxa"/>
            <w:tcBorders>
              <w:top w:val="single" w:color="auto" w:sz="2" w:space="0"/>
              <w:left w:val="single" w:color="auto" w:sz="2" w:space="0"/>
              <w:bottom w:val="single" w:color="auto" w:sz="2" w:space="0"/>
              <w:right w:val="single" w:color="auto" w:sz="2" w:space="0"/>
            </w:tcBorders>
            <w:vAlign w:val="center"/>
          </w:tcPr>
          <w:p w14:paraId="4F95DFB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14,367,719.17</w:t>
            </w:r>
          </w:p>
        </w:tc>
      </w:tr>
    </w:tbl>
    <w:p w14:paraId="61252E0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332AA45">
      <w:pPr>
        <w:keepNext/>
        <w:keepLines/>
        <w:spacing w:before="300" w:after="300" w:line="280" w:lineRule="exact"/>
        <w:jc w:val="left"/>
        <w:outlineLvl w:val="2"/>
        <w:rPr>
          <w:rFonts w:ascii="宋体" w:hAnsi="宋体" w:eastAsia="宋体" w:cs="宋体"/>
          <w:b/>
          <w:bCs/>
          <w:color w:val="auto"/>
          <w:sz w:val="21"/>
          <w:szCs w:val="21"/>
        </w:rPr>
      </w:pPr>
      <w:bookmarkStart w:id="267" w:name="_Toc989243"/>
      <w:r>
        <w:rPr>
          <w:rFonts w:ascii="宋体" w:hAnsi="宋体" w:eastAsia="宋体" w:cs="宋体"/>
          <w:b/>
          <w:bCs/>
          <w:color w:val="auto"/>
          <w:sz w:val="21"/>
          <w:szCs w:val="21"/>
        </w:rPr>
        <w:t>66、财务费用</w:t>
      </w:r>
      <w:bookmarkEnd w:id="267"/>
    </w:p>
    <w:p w14:paraId="7BC1D62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1EC30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C50A9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3BE62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5DCB7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2C2831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184ABD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利息支出</w:t>
            </w:r>
          </w:p>
        </w:tc>
        <w:tc>
          <w:tcPr>
            <w:tcW w:w="3213" w:type="dxa"/>
            <w:tcBorders>
              <w:top w:val="single" w:color="auto" w:sz="2" w:space="0"/>
              <w:left w:val="single" w:color="auto" w:sz="2" w:space="0"/>
              <w:bottom w:val="single" w:color="auto" w:sz="2" w:space="0"/>
              <w:right w:val="single" w:color="auto" w:sz="2" w:space="0"/>
            </w:tcBorders>
            <w:vAlign w:val="center"/>
          </w:tcPr>
          <w:p w14:paraId="2EDFAB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16,665,439.88</w:t>
            </w:r>
          </w:p>
        </w:tc>
        <w:tc>
          <w:tcPr>
            <w:tcW w:w="3213" w:type="dxa"/>
            <w:tcBorders>
              <w:top w:val="single" w:color="auto" w:sz="2" w:space="0"/>
              <w:left w:val="single" w:color="auto" w:sz="2" w:space="0"/>
              <w:bottom w:val="single" w:color="auto" w:sz="2" w:space="0"/>
              <w:right w:val="single" w:color="auto" w:sz="2" w:space="0"/>
            </w:tcBorders>
            <w:vAlign w:val="center"/>
          </w:tcPr>
          <w:p w14:paraId="1528E1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17,892,956.94</w:t>
            </w:r>
          </w:p>
        </w:tc>
      </w:tr>
      <w:tr w14:paraId="3AC736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F273C3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减：利息收入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0A8DDC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-374,917.33</w:t>
            </w:r>
          </w:p>
        </w:tc>
        <w:tc>
          <w:tcPr>
            <w:tcW w:w="3213" w:type="dxa"/>
            <w:tcBorders>
              <w:top w:val="single" w:color="auto" w:sz="2" w:space="0"/>
              <w:left w:val="single" w:color="auto" w:sz="2" w:space="0"/>
              <w:bottom w:val="single" w:color="auto" w:sz="2" w:space="0"/>
              <w:right w:val="single" w:color="auto" w:sz="2" w:space="0"/>
            </w:tcBorders>
            <w:vAlign w:val="center"/>
          </w:tcPr>
          <w:p w14:paraId="789BF5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-944,301.52</w:t>
            </w:r>
          </w:p>
        </w:tc>
      </w:tr>
      <w:tr w14:paraId="15E984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6D1181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汇兑损益</w:t>
            </w:r>
          </w:p>
        </w:tc>
        <w:tc>
          <w:tcPr>
            <w:tcW w:w="3213" w:type="dxa"/>
            <w:tcBorders>
              <w:top w:val="single" w:color="auto" w:sz="2" w:space="0"/>
              <w:left w:val="single" w:color="auto" w:sz="2" w:space="0"/>
              <w:bottom w:val="single" w:color="auto" w:sz="2" w:space="0"/>
              <w:right w:val="single" w:color="auto" w:sz="2" w:space="0"/>
            </w:tcBorders>
            <w:vAlign w:val="center"/>
          </w:tcPr>
          <w:p w14:paraId="278226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241.23</w:t>
            </w:r>
          </w:p>
        </w:tc>
        <w:tc>
          <w:tcPr>
            <w:tcW w:w="3213" w:type="dxa"/>
            <w:tcBorders>
              <w:top w:val="single" w:color="auto" w:sz="2" w:space="0"/>
              <w:left w:val="single" w:color="auto" w:sz="2" w:space="0"/>
              <w:bottom w:val="single" w:color="auto" w:sz="2" w:space="0"/>
              <w:right w:val="single" w:color="auto" w:sz="2" w:space="0"/>
            </w:tcBorders>
            <w:vAlign w:val="center"/>
          </w:tcPr>
          <w:p w14:paraId="5BF57E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378.68</w:t>
            </w:r>
          </w:p>
        </w:tc>
      </w:tr>
      <w:tr w14:paraId="556F5F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20EBAB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银行手续费及其他</w:t>
            </w:r>
          </w:p>
        </w:tc>
        <w:tc>
          <w:tcPr>
            <w:tcW w:w="3213" w:type="dxa"/>
            <w:tcBorders>
              <w:top w:val="single" w:color="auto" w:sz="2" w:space="0"/>
              <w:left w:val="single" w:color="auto" w:sz="2" w:space="0"/>
              <w:bottom w:val="single" w:color="auto" w:sz="2" w:space="0"/>
              <w:right w:val="single" w:color="auto" w:sz="2" w:space="0"/>
            </w:tcBorders>
            <w:vAlign w:val="center"/>
          </w:tcPr>
          <w:p w14:paraId="4BFAE05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21,224.15</w:t>
            </w:r>
          </w:p>
        </w:tc>
        <w:tc>
          <w:tcPr>
            <w:tcW w:w="3213" w:type="dxa"/>
            <w:tcBorders>
              <w:top w:val="single" w:color="auto" w:sz="2" w:space="0"/>
              <w:left w:val="single" w:color="auto" w:sz="2" w:space="0"/>
              <w:bottom w:val="single" w:color="auto" w:sz="2" w:space="0"/>
              <w:right w:val="single" w:color="auto" w:sz="2" w:space="0"/>
            </w:tcBorders>
            <w:vAlign w:val="center"/>
          </w:tcPr>
          <w:p w14:paraId="770EF5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20,630.75</w:t>
            </w:r>
          </w:p>
        </w:tc>
      </w:tr>
      <w:tr w14:paraId="02FA24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5BF94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D9DB33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16,311,987.93</w:t>
            </w:r>
          </w:p>
        </w:tc>
        <w:tc>
          <w:tcPr>
            <w:tcW w:w="3213" w:type="dxa"/>
            <w:tcBorders>
              <w:top w:val="single" w:color="auto" w:sz="2" w:space="0"/>
              <w:left w:val="single" w:color="auto" w:sz="2" w:space="0"/>
              <w:bottom w:val="single" w:color="auto" w:sz="2" w:space="0"/>
              <w:right w:val="single" w:color="auto" w:sz="2" w:space="0"/>
            </w:tcBorders>
            <w:vAlign w:val="center"/>
          </w:tcPr>
          <w:p w14:paraId="25E459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16,969,664.85</w:t>
            </w:r>
          </w:p>
        </w:tc>
      </w:tr>
    </w:tbl>
    <w:p w14:paraId="2CDEADC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FD68F39">
      <w:pPr>
        <w:keepNext/>
        <w:keepLines/>
        <w:spacing w:before="300" w:after="300" w:line="280" w:lineRule="exact"/>
        <w:jc w:val="left"/>
        <w:outlineLvl w:val="2"/>
        <w:rPr>
          <w:rFonts w:ascii="宋体" w:hAnsi="宋体" w:eastAsia="宋体" w:cs="宋体"/>
          <w:b/>
          <w:bCs/>
          <w:color w:val="auto"/>
          <w:sz w:val="21"/>
          <w:szCs w:val="21"/>
        </w:rPr>
      </w:pPr>
      <w:bookmarkStart w:id="268" w:name="_Toc989244"/>
      <w:r>
        <w:rPr>
          <w:rFonts w:ascii="宋体" w:hAnsi="宋体" w:eastAsia="宋体" w:cs="宋体"/>
          <w:b/>
          <w:bCs/>
          <w:color w:val="auto"/>
          <w:sz w:val="21"/>
          <w:szCs w:val="21"/>
        </w:rPr>
        <w:t>67、其他收益</w:t>
      </w:r>
      <w:bookmarkEnd w:id="268"/>
    </w:p>
    <w:p w14:paraId="66C4729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63948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4E69E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产生其他收益的来源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7ADB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D1956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6ECD8B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504B25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政府补助</w:t>
            </w:r>
          </w:p>
        </w:tc>
        <w:tc>
          <w:tcPr>
            <w:tcW w:w="3213" w:type="dxa"/>
            <w:tcBorders>
              <w:top w:val="single" w:color="auto" w:sz="2" w:space="0"/>
              <w:left w:val="single" w:color="auto" w:sz="2" w:space="0"/>
              <w:bottom w:val="single" w:color="auto" w:sz="2" w:space="0"/>
              <w:right w:val="single" w:color="auto" w:sz="2" w:space="0"/>
            </w:tcBorders>
            <w:vAlign w:val="center"/>
          </w:tcPr>
          <w:p w14:paraId="5DE429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5,357,256.95</w:t>
            </w:r>
          </w:p>
        </w:tc>
        <w:tc>
          <w:tcPr>
            <w:tcW w:w="3213" w:type="dxa"/>
            <w:tcBorders>
              <w:top w:val="single" w:color="auto" w:sz="2" w:space="0"/>
              <w:left w:val="single" w:color="auto" w:sz="2" w:space="0"/>
              <w:bottom w:val="single" w:color="auto" w:sz="2" w:space="0"/>
              <w:right w:val="single" w:color="auto" w:sz="2" w:space="0"/>
            </w:tcBorders>
            <w:vAlign w:val="center"/>
          </w:tcPr>
          <w:p w14:paraId="76F46B5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14,344,615.72</w:t>
            </w:r>
          </w:p>
        </w:tc>
      </w:tr>
      <w:tr w14:paraId="41A848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0E4BE4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代扣个人所得税手续费返还</w:t>
            </w:r>
          </w:p>
        </w:tc>
        <w:tc>
          <w:tcPr>
            <w:tcW w:w="3213" w:type="dxa"/>
            <w:tcBorders>
              <w:top w:val="single" w:color="auto" w:sz="2" w:space="0"/>
              <w:left w:val="single" w:color="auto" w:sz="2" w:space="0"/>
              <w:bottom w:val="single" w:color="auto" w:sz="2" w:space="0"/>
              <w:right w:val="single" w:color="auto" w:sz="2" w:space="0"/>
            </w:tcBorders>
            <w:vAlign w:val="center"/>
          </w:tcPr>
          <w:p w14:paraId="03F36B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165,920.41</w:t>
            </w:r>
          </w:p>
        </w:tc>
        <w:tc>
          <w:tcPr>
            <w:tcW w:w="3213" w:type="dxa"/>
            <w:tcBorders>
              <w:top w:val="single" w:color="auto" w:sz="2" w:space="0"/>
              <w:left w:val="single" w:color="auto" w:sz="2" w:space="0"/>
              <w:bottom w:val="single" w:color="auto" w:sz="2" w:space="0"/>
              <w:right w:val="single" w:color="auto" w:sz="2" w:space="0"/>
            </w:tcBorders>
            <w:vAlign w:val="center"/>
          </w:tcPr>
          <w:p w14:paraId="0FDBD13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154,241.19</w:t>
            </w:r>
          </w:p>
        </w:tc>
      </w:tr>
      <w:tr w14:paraId="4091A5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6D9CF0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增值税免征及加计抵减优惠</w:t>
            </w:r>
          </w:p>
        </w:tc>
        <w:tc>
          <w:tcPr>
            <w:tcW w:w="3213" w:type="dxa"/>
            <w:tcBorders>
              <w:top w:val="single" w:color="auto" w:sz="2" w:space="0"/>
              <w:left w:val="single" w:color="auto" w:sz="2" w:space="0"/>
              <w:bottom w:val="single" w:color="auto" w:sz="2" w:space="0"/>
              <w:right w:val="single" w:color="auto" w:sz="2" w:space="0"/>
            </w:tcBorders>
            <w:vAlign w:val="center"/>
          </w:tcPr>
          <w:p w14:paraId="3DD5CF2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218,866.39</w:t>
            </w:r>
          </w:p>
        </w:tc>
        <w:tc>
          <w:tcPr>
            <w:tcW w:w="3213" w:type="dxa"/>
            <w:tcBorders>
              <w:top w:val="single" w:color="auto" w:sz="2" w:space="0"/>
              <w:left w:val="single" w:color="auto" w:sz="2" w:space="0"/>
              <w:bottom w:val="single" w:color="auto" w:sz="2" w:space="0"/>
              <w:right w:val="single" w:color="auto" w:sz="2" w:space="0"/>
            </w:tcBorders>
            <w:vAlign w:val="center"/>
          </w:tcPr>
          <w:p w14:paraId="4B9193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1,378,887.47</w:t>
            </w:r>
          </w:p>
        </w:tc>
      </w:tr>
      <w:tr w14:paraId="203DAE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CF64E8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71F5E1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5,742,043.75</w:t>
            </w:r>
          </w:p>
        </w:tc>
        <w:tc>
          <w:tcPr>
            <w:tcW w:w="3213" w:type="dxa"/>
            <w:tcBorders>
              <w:top w:val="single" w:color="auto" w:sz="2" w:space="0"/>
              <w:left w:val="single" w:color="auto" w:sz="2" w:space="0"/>
              <w:bottom w:val="single" w:color="auto" w:sz="2" w:space="0"/>
              <w:right w:val="single" w:color="auto" w:sz="2" w:space="0"/>
            </w:tcBorders>
            <w:vAlign w:val="center"/>
          </w:tcPr>
          <w:p w14:paraId="7FCC384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15,877,744.38</w:t>
            </w:r>
          </w:p>
        </w:tc>
      </w:tr>
    </w:tbl>
    <w:p w14:paraId="125CF5FB">
      <w:pPr>
        <w:keepNext/>
        <w:keepLines/>
        <w:spacing w:before="300" w:after="300" w:line="280" w:lineRule="exact"/>
        <w:jc w:val="left"/>
        <w:outlineLvl w:val="2"/>
        <w:rPr>
          <w:rFonts w:ascii="宋体" w:hAnsi="宋体" w:eastAsia="宋体" w:cs="宋体"/>
          <w:b/>
          <w:bCs/>
          <w:color w:val="auto"/>
          <w:sz w:val="21"/>
          <w:szCs w:val="21"/>
        </w:rPr>
      </w:pPr>
      <w:bookmarkStart w:id="269" w:name="_Toc989245"/>
      <w:r>
        <w:rPr>
          <w:rFonts w:ascii="宋体" w:hAnsi="宋体" w:eastAsia="宋体" w:cs="宋体"/>
          <w:b/>
          <w:bCs/>
          <w:color w:val="auto"/>
          <w:sz w:val="21"/>
          <w:szCs w:val="21"/>
        </w:rPr>
        <w:t>68、净敞口套期收益</w:t>
      </w:r>
      <w:bookmarkEnd w:id="269"/>
    </w:p>
    <w:p w14:paraId="2786D9D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BB231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28D8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63A54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8AE80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29B4201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C019E13">
      <w:pPr>
        <w:keepNext/>
        <w:keepLines/>
        <w:spacing w:before="300" w:after="300" w:line="280" w:lineRule="exact"/>
        <w:jc w:val="left"/>
        <w:outlineLvl w:val="2"/>
        <w:rPr>
          <w:rFonts w:ascii="宋体" w:hAnsi="宋体" w:eastAsia="宋体" w:cs="宋体"/>
          <w:b/>
          <w:bCs/>
          <w:color w:val="auto"/>
          <w:sz w:val="21"/>
          <w:szCs w:val="21"/>
        </w:rPr>
      </w:pPr>
      <w:bookmarkStart w:id="270" w:name="_Toc989246"/>
      <w:r>
        <w:rPr>
          <w:rFonts w:ascii="宋体" w:hAnsi="宋体" w:eastAsia="宋体" w:cs="宋体"/>
          <w:b/>
          <w:bCs/>
          <w:color w:val="auto"/>
          <w:sz w:val="21"/>
          <w:szCs w:val="21"/>
        </w:rPr>
        <w:t>69、公允价值变动收益</w:t>
      </w:r>
      <w:bookmarkEnd w:id="270"/>
    </w:p>
    <w:p w14:paraId="49220A5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AF0E5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26C4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产生公允价值变动收益的来源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5730E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AFBD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0550526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8C058C8">
      <w:pPr>
        <w:keepNext/>
        <w:keepLines/>
        <w:spacing w:before="300" w:after="300" w:line="280" w:lineRule="exact"/>
        <w:jc w:val="left"/>
        <w:outlineLvl w:val="2"/>
        <w:rPr>
          <w:rFonts w:ascii="宋体" w:hAnsi="宋体" w:eastAsia="宋体" w:cs="宋体"/>
          <w:b/>
          <w:bCs/>
          <w:color w:val="auto"/>
          <w:sz w:val="21"/>
          <w:szCs w:val="21"/>
        </w:rPr>
      </w:pPr>
      <w:bookmarkStart w:id="271" w:name="_Toc989247"/>
      <w:r>
        <w:rPr>
          <w:rFonts w:ascii="宋体" w:hAnsi="宋体" w:eastAsia="宋体" w:cs="宋体"/>
          <w:b/>
          <w:bCs/>
          <w:color w:val="auto"/>
          <w:sz w:val="21"/>
          <w:szCs w:val="21"/>
        </w:rPr>
        <w:t>70、投资收益</w:t>
      </w:r>
      <w:bookmarkEnd w:id="271"/>
    </w:p>
    <w:p w14:paraId="1606D49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D806A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6C451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A3045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EEFDB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40106D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FD336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权益法核算的长期股权投资收益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26D579E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3213" w:type="dxa"/>
            <w:tcBorders>
              <w:top w:val="single" w:color="auto" w:sz="2" w:space="0"/>
              <w:left w:val="single" w:color="auto" w:sz="2" w:space="0"/>
              <w:bottom w:val="single" w:color="auto" w:sz="2" w:space="0"/>
              <w:right w:val="single" w:color="auto" w:sz="2" w:space="0"/>
            </w:tcBorders>
            <w:vAlign w:val="center"/>
          </w:tcPr>
          <w:p w14:paraId="6CD7169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-2,019,561.20</w:t>
            </w:r>
          </w:p>
        </w:tc>
      </w:tr>
      <w:tr w14:paraId="4C27A3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83D7F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6DE4AB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3213" w:type="dxa"/>
            <w:tcBorders>
              <w:top w:val="single" w:color="auto" w:sz="2" w:space="0"/>
              <w:left w:val="single" w:color="auto" w:sz="2" w:space="0"/>
              <w:bottom w:val="single" w:color="auto" w:sz="2" w:space="0"/>
              <w:right w:val="single" w:color="auto" w:sz="2" w:space="0"/>
            </w:tcBorders>
            <w:vAlign w:val="center"/>
          </w:tcPr>
          <w:p w14:paraId="410E76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-2,019,561.20</w:t>
            </w:r>
          </w:p>
        </w:tc>
      </w:tr>
    </w:tbl>
    <w:p w14:paraId="49F0E88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16DCF00">
      <w:pPr>
        <w:keepNext/>
        <w:keepLines/>
        <w:spacing w:before="300" w:after="300" w:line="280" w:lineRule="exact"/>
        <w:jc w:val="left"/>
        <w:outlineLvl w:val="2"/>
        <w:rPr>
          <w:rFonts w:ascii="宋体" w:hAnsi="宋体" w:eastAsia="宋体" w:cs="宋体"/>
          <w:b/>
          <w:bCs/>
          <w:color w:val="auto"/>
          <w:sz w:val="21"/>
          <w:szCs w:val="21"/>
        </w:rPr>
      </w:pPr>
      <w:bookmarkStart w:id="272" w:name="_Toc989248"/>
      <w:r>
        <w:rPr>
          <w:rFonts w:ascii="宋体" w:hAnsi="宋体" w:eastAsia="宋体" w:cs="宋体"/>
          <w:b/>
          <w:bCs/>
          <w:color w:val="auto"/>
          <w:sz w:val="21"/>
          <w:szCs w:val="21"/>
        </w:rPr>
        <w:t>71、信用减值损失</w:t>
      </w:r>
      <w:bookmarkEnd w:id="272"/>
    </w:p>
    <w:p w14:paraId="18A9F6B1">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ECE51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08BD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6CCE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52880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35B597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D3584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应收账款坏账损失</w:t>
            </w:r>
          </w:p>
        </w:tc>
        <w:tc>
          <w:tcPr>
            <w:tcW w:w="3213" w:type="dxa"/>
            <w:tcBorders>
              <w:top w:val="single" w:color="auto" w:sz="2" w:space="0"/>
              <w:left w:val="single" w:color="auto" w:sz="2" w:space="0"/>
              <w:bottom w:val="single" w:color="auto" w:sz="2" w:space="0"/>
              <w:right w:val="single" w:color="auto" w:sz="2" w:space="0"/>
            </w:tcBorders>
            <w:vAlign w:val="center"/>
          </w:tcPr>
          <w:p w14:paraId="643696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-736,487.70</w:t>
            </w:r>
          </w:p>
        </w:tc>
        <w:tc>
          <w:tcPr>
            <w:tcW w:w="3213" w:type="dxa"/>
            <w:tcBorders>
              <w:top w:val="single" w:color="auto" w:sz="2" w:space="0"/>
              <w:left w:val="single" w:color="auto" w:sz="2" w:space="0"/>
              <w:bottom w:val="single" w:color="auto" w:sz="2" w:space="0"/>
              <w:right w:val="single" w:color="auto" w:sz="2" w:space="0"/>
            </w:tcBorders>
            <w:vAlign w:val="center"/>
          </w:tcPr>
          <w:p w14:paraId="5C1C306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76,438.62</w:t>
            </w:r>
          </w:p>
        </w:tc>
      </w:tr>
      <w:tr w14:paraId="2D4B58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14D90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其他应收款坏账损失</w:t>
            </w:r>
          </w:p>
        </w:tc>
        <w:tc>
          <w:tcPr>
            <w:tcW w:w="3213" w:type="dxa"/>
            <w:tcBorders>
              <w:top w:val="single" w:color="auto" w:sz="2" w:space="0"/>
              <w:left w:val="single" w:color="auto" w:sz="2" w:space="0"/>
              <w:bottom w:val="single" w:color="auto" w:sz="2" w:space="0"/>
              <w:right w:val="single" w:color="auto" w:sz="2" w:space="0"/>
            </w:tcBorders>
            <w:vAlign w:val="center"/>
          </w:tcPr>
          <w:p w14:paraId="59453A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-1,408.64</w:t>
            </w:r>
          </w:p>
        </w:tc>
        <w:tc>
          <w:tcPr>
            <w:tcW w:w="3213" w:type="dxa"/>
            <w:tcBorders>
              <w:top w:val="single" w:color="auto" w:sz="2" w:space="0"/>
              <w:left w:val="single" w:color="auto" w:sz="2" w:space="0"/>
              <w:bottom w:val="single" w:color="auto" w:sz="2" w:space="0"/>
              <w:right w:val="single" w:color="auto" w:sz="2" w:space="0"/>
            </w:tcBorders>
            <w:vAlign w:val="center"/>
          </w:tcPr>
          <w:p w14:paraId="14F23E0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883.26</w:t>
            </w:r>
          </w:p>
        </w:tc>
      </w:tr>
      <w:tr w14:paraId="515FAD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AEE6C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97879B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-737,896.34</w:t>
            </w:r>
          </w:p>
        </w:tc>
        <w:tc>
          <w:tcPr>
            <w:tcW w:w="3213" w:type="dxa"/>
            <w:tcBorders>
              <w:top w:val="single" w:color="auto" w:sz="2" w:space="0"/>
              <w:left w:val="single" w:color="auto" w:sz="2" w:space="0"/>
              <w:bottom w:val="single" w:color="auto" w:sz="2" w:space="0"/>
              <w:right w:val="single" w:color="auto" w:sz="2" w:space="0"/>
            </w:tcBorders>
            <w:vAlign w:val="center"/>
          </w:tcPr>
          <w:p w14:paraId="535BB87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77,321.88</w:t>
            </w:r>
          </w:p>
        </w:tc>
      </w:tr>
    </w:tbl>
    <w:p w14:paraId="451F340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04E94C7">
      <w:pPr>
        <w:keepNext/>
        <w:keepLines/>
        <w:spacing w:before="300" w:after="300" w:line="280" w:lineRule="exact"/>
        <w:jc w:val="left"/>
        <w:outlineLvl w:val="2"/>
        <w:rPr>
          <w:rFonts w:ascii="宋体" w:hAnsi="宋体" w:eastAsia="宋体" w:cs="宋体"/>
          <w:b/>
          <w:bCs/>
          <w:color w:val="auto"/>
          <w:sz w:val="21"/>
          <w:szCs w:val="21"/>
        </w:rPr>
      </w:pPr>
      <w:bookmarkStart w:id="273" w:name="_Toc989249"/>
      <w:r>
        <w:rPr>
          <w:rFonts w:ascii="宋体" w:hAnsi="宋体" w:eastAsia="宋体" w:cs="宋体"/>
          <w:b/>
          <w:bCs/>
          <w:color w:val="auto"/>
          <w:sz w:val="21"/>
          <w:szCs w:val="21"/>
        </w:rPr>
        <w:t>72、资产减值损失</w:t>
      </w:r>
      <w:bookmarkEnd w:id="273"/>
    </w:p>
    <w:p w14:paraId="0DC602E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803FC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A9A23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112FE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640E8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6F0BF4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15110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一、存货跌价损失及合同履约成本减值损失</w:t>
            </w:r>
          </w:p>
        </w:tc>
        <w:tc>
          <w:tcPr>
            <w:tcW w:w="3213" w:type="dxa"/>
            <w:tcBorders>
              <w:top w:val="single" w:color="auto" w:sz="2" w:space="0"/>
              <w:left w:val="single" w:color="auto" w:sz="2" w:space="0"/>
              <w:bottom w:val="single" w:color="auto" w:sz="2" w:space="0"/>
              <w:right w:val="single" w:color="auto" w:sz="2" w:space="0"/>
            </w:tcBorders>
            <w:vAlign w:val="center"/>
          </w:tcPr>
          <w:p w14:paraId="2F99ADC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-6,362,564.46</w:t>
            </w:r>
          </w:p>
        </w:tc>
        <w:tc>
          <w:tcPr>
            <w:tcW w:w="3213" w:type="dxa"/>
            <w:tcBorders>
              <w:top w:val="single" w:color="auto" w:sz="2" w:space="0"/>
              <w:left w:val="single" w:color="auto" w:sz="2" w:space="0"/>
              <w:bottom w:val="single" w:color="auto" w:sz="2" w:space="0"/>
              <w:right w:val="single" w:color="auto" w:sz="2" w:space="0"/>
            </w:tcBorders>
            <w:vAlign w:val="center"/>
          </w:tcPr>
          <w:p w14:paraId="275AAC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-2,053,927.25</w:t>
            </w:r>
          </w:p>
        </w:tc>
      </w:tr>
      <w:tr w14:paraId="74566D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6D430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十二、其他</w:t>
            </w:r>
          </w:p>
        </w:tc>
        <w:tc>
          <w:tcPr>
            <w:tcW w:w="3213" w:type="dxa"/>
            <w:tcBorders>
              <w:top w:val="single" w:color="auto" w:sz="2" w:space="0"/>
              <w:left w:val="single" w:color="auto" w:sz="2" w:space="0"/>
              <w:bottom w:val="single" w:color="auto" w:sz="2" w:space="0"/>
              <w:right w:val="single" w:color="auto" w:sz="2" w:space="0"/>
            </w:tcBorders>
            <w:vAlign w:val="center"/>
          </w:tcPr>
          <w:p w14:paraId="400093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-688,320.97</w:t>
            </w:r>
          </w:p>
        </w:tc>
        <w:tc>
          <w:tcPr>
            <w:tcW w:w="3213" w:type="dxa"/>
            <w:tcBorders>
              <w:top w:val="single" w:color="auto" w:sz="2" w:space="0"/>
              <w:left w:val="single" w:color="auto" w:sz="2" w:space="0"/>
              <w:bottom w:val="single" w:color="auto" w:sz="2" w:space="0"/>
              <w:right w:val="single" w:color="auto" w:sz="2" w:space="0"/>
            </w:tcBorders>
            <w:vAlign w:val="center"/>
          </w:tcPr>
          <w:p w14:paraId="4F32450A">
            <w:pPr>
              <w:spacing w:before="0" w:after="0" w:line="240" w:lineRule="exact"/>
              <w:jc w:val="right"/>
              <w:rPr>
                <w:rFonts w:ascii="宋体" w:hAnsi="宋体" w:eastAsia="宋体" w:cs="宋体"/>
                <w:color w:val="auto"/>
                <w:sz w:val="18"/>
                <w:szCs w:val="18"/>
              </w:rPr>
            </w:pPr>
          </w:p>
        </w:tc>
      </w:tr>
      <w:tr w14:paraId="32A5E4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577A4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69AD4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-7,050,885.43</w:t>
            </w:r>
          </w:p>
        </w:tc>
        <w:tc>
          <w:tcPr>
            <w:tcW w:w="3213" w:type="dxa"/>
            <w:tcBorders>
              <w:top w:val="single" w:color="auto" w:sz="2" w:space="0"/>
              <w:left w:val="single" w:color="auto" w:sz="2" w:space="0"/>
              <w:bottom w:val="single" w:color="auto" w:sz="2" w:space="0"/>
              <w:right w:val="single" w:color="auto" w:sz="2" w:space="0"/>
            </w:tcBorders>
            <w:vAlign w:val="center"/>
          </w:tcPr>
          <w:p w14:paraId="18324A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-2,053,927.25</w:t>
            </w:r>
          </w:p>
        </w:tc>
      </w:tr>
    </w:tbl>
    <w:p w14:paraId="43FBE96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87BFE7E">
      <w:pPr>
        <w:keepNext/>
        <w:keepLines/>
        <w:spacing w:before="300" w:after="300" w:line="280" w:lineRule="exact"/>
        <w:jc w:val="left"/>
        <w:outlineLvl w:val="2"/>
        <w:rPr>
          <w:rFonts w:ascii="宋体" w:hAnsi="宋体" w:eastAsia="宋体" w:cs="宋体"/>
          <w:b/>
          <w:bCs/>
          <w:color w:val="auto"/>
          <w:sz w:val="21"/>
          <w:szCs w:val="21"/>
        </w:rPr>
      </w:pPr>
      <w:bookmarkStart w:id="274" w:name="_Toc989250"/>
      <w:r>
        <w:rPr>
          <w:rFonts w:ascii="宋体" w:hAnsi="宋体" w:eastAsia="宋体" w:cs="宋体"/>
          <w:b/>
          <w:bCs/>
          <w:color w:val="auto"/>
          <w:sz w:val="21"/>
          <w:szCs w:val="21"/>
        </w:rPr>
        <w:t>73、资产处置收益</w:t>
      </w:r>
      <w:bookmarkEnd w:id="274"/>
    </w:p>
    <w:p w14:paraId="3E00351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FF449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102B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资产处置收益的来源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6C08E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718D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1CCC657F">
      <w:pPr>
        <w:keepNext/>
        <w:keepLines/>
        <w:spacing w:before="300" w:after="300" w:line="280" w:lineRule="exact"/>
        <w:jc w:val="left"/>
        <w:outlineLvl w:val="2"/>
        <w:rPr>
          <w:rFonts w:ascii="宋体" w:hAnsi="宋体" w:eastAsia="宋体" w:cs="宋体"/>
          <w:b/>
          <w:bCs/>
          <w:color w:val="auto"/>
          <w:sz w:val="21"/>
          <w:szCs w:val="21"/>
        </w:rPr>
      </w:pPr>
      <w:bookmarkStart w:id="275" w:name="_Toc989251"/>
      <w:r>
        <w:rPr>
          <w:rFonts w:ascii="宋体" w:hAnsi="宋体" w:eastAsia="宋体" w:cs="宋体"/>
          <w:b/>
          <w:bCs/>
          <w:color w:val="auto"/>
          <w:sz w:val="21"/>
          <w:szCs w:val="21"/>
        </w:rPr>
        <w:t>74、营业外收入</w:t>
      </w:r>
      <w:bookmarkEnd w:id="275"/>
    </w:p>
    <w:p w14:paraId="0A39BBC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1DD4CC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E2B67F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B479CA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930030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DC9869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计入当期非经常性损益的金额</w:t>
            </w:r>
          </w:p>
        </w:tc>
      </w:tr>
      <w:tr w14:paraId="3DE72B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1C32B9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窜货罚款收入</w:t>
            </w:r>
          </w:p>
        </w:tc>
        <w:tc>
          <w:tcPr>
            <w:tcW w:w="2410" w:type="dxa"/>
            <w:tcBorders>
              <w:top w:val="single" w:color="auto" w:sz="2" w:space="0"/>
              <w:left w:val="single" w:color="auto" w:sz="2" w:space="0"/>
              <w:bottom w:val="single" w:color="auto" w:sz="2" w:space="0"/>
              <w:right w:val="single" w:color="auto" w:sz="2" w:space="0"/>
            </w:tcBorders>
            <w:vAlign w:val="center"/>
          </w:tcPr>
          <w:p w14:paraId="3032A61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176,625.34</w:t>
            </w:r>
          </w:p>
        </w:tc>
        <w:tc>
          <w:tcPr>
            <w:tcW w:w="2410" w:type="dxa"/>
            <w:tcBorders>
              <w:top w:val="single" w:color="auto" w:sz="2" w:space="0"/>
              <w:left w:val="single" w:color="auto" w:sz="2" w:space="0"/>
              <w:bottom w:val="single" w:color="auto" w:sz="2" w:space="0"/>
              <w:right w:val="single" w:color="auto" w:sz="2" w:space="0"/>
            </w:tcBorders>
            <w:vAlign w:val="center"/>
          </w:tcPr>
          <w:p w14:paraId="32085AE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48,162.21</w:t>
            </w:r>
          </w:p>
        </w:tc>
        <w:tc>
          <w:tcPr>
            <w:tcW w:w="2410" w:type="dxa"/>
            <w:tcBorders>
              <w:top w:val="single" w:color="auto" w:sz="2" w:space="0"/>
              <w:left w:val="single" w:color="auto" w:sz="2" w:space="0"/>
              <w:bottom w:val="single" w:color="auto" w:sz="2" w:space="0"/>
              <w:right w:val="single" w:color="auto" w:sz="2" w:space="0"/>
            </w:tcBorders>
            <w:vAlign w:val="center"/>
          </w:tcPr>
          <w:p w14:paraId="6382F2E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176,625.34</w:t>
            </w:r>
          </w:p>
        </w:tc>
      </w:tr>
      <w:tr w14:paraId="6573A0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95E7C8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违约赔偿收入</w:t>
            </w:r>
          </w:p>
        </w:tc>
        <w:tc>
          <w:tcPr>
            <w:tcW w:w="2410" w:type="dxa"/>
            <w:tcBorders>
              <w:top w:val="single" w:color="auto" w:sz="2" w:space="0"/>
              <w:left w:val="single" w:color="auto" w:sz="2" w:space="0"/>
              <w:bottom w:val="single" w:color="auto" w:sz="2" w:space="0"/>
              <w:right w:val="single" w:color="auto" w:sz="2" w:space="0"/>
            </w:tcBorders>
            <w:vAlign w:val="center"/>
          </w:tcPr>
          <w:p w14:paraId="1E1FAD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109,123.26</w:t>
            </w:r>
          </w:p>
        </w:tc>
        <w:tc>
          <w:tcPr>
            <w:tcW w:w="2410" w:type="dxa"/>
            <w:tcBorders>
              <w:top w:val="single" w:color="auto" w:sz="2" w:space="0"/>
              <w:left w:val="single" w:color="auto" w:sz="2" w:space="0"/>
              <w:bottom w:val="single" w:color="auto" w:sz="2" w:space="0"/>
              <w:right w:val="single" w:color="auto" w:sz="2" w:space="0"/>
            </w:tcBorders>
            <w:vAlign w:val="center"/>
          </w:tcPr>
          <w:p w14:paraId="64E7818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20,827.50</w:t>
            </w:r>
          </w:p>
        </w:tc>
        <w:tc>
          <w:tcPr>
            <w:tcW w:w="2410" w:type="dxa"/>
            <w:tcBorders>
              <w:top w:val="single" w:color="auto" w:sz="2" w:space="0"/>
              <w:left w:val="single" w:color="auto" w:sz="2" w:space="0"/>
              <w:bottom w:val="single" w:color="auto" w:sz="2" w:space="0"/>
              <w:right w:val="single" w:color="auto" w:sz="2" w:space="0"/>
            </w:tcBorders>
            <w:vAlign w:val="center"/>
          </w:tcPr>
          <w:p w14:paraId="5918652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109,123.26</w:t>
            </w:r>
          </w:p>
        </w:tc>
      </w:tr>
      <w:tr w14:paraId="06B96F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9CB2FC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不用履行的负债</w:t>
            </w:r>
          </w:p>
        </w:tc>
        <w:tc>
          <w:tcPr>
            <w:tcW w:w="2410" w:type="dxa"/>
            <w:tcBorders>
              <w:top w:val="single" w:color="auto" w:sz="2" w:space="0"/>
              <w:left w:val="single" w:color="auto" w:sz="2" w:space="0"/>
              <w:bottom w:val="single" w:color="auto" w:sz="2" w:space="0"/>
              <w:right w:val="single" w:color="auto" w:sz="2" w:space="0"/>
            </w:tcBorders>
            <w:vAlign w:val="center"/>
          </w:tcPr>
          <w:p w14:paraId="2BF321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7,106.87</w:t>
            </w:r>
          </w:p>
        </w:tc>
        <w:tc>
          <w:tcPr>
            <w:tcW w:w="2410" w:type="dxa"/>
            <w:tcBorders>
              <w:top w:val="single" w:color="auto" w:sz="2" w:space="0"/>
              <w:left w:val="single" w:color="auto" w:sz="2" w:space="0"/>
              <w:bottom w:val="single" w:color="auto" w:sz="2" w:space="0"/>
              <w:right w:val="single" w:color="auto" w:sz="2" w:space="0"/>
            </w:tcBorders>
            <w:vAlign w:val="center"/>
          </w:tcPr>
          <w:p w14:paraId="21D8D1E7">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84917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7,106.87</w:t>
            </w:r>
          </w:p>
        </w:tc>
      </w:tr>
      <w:tr w14:paraId="76B1E6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48C80C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2410" w:type="dxa"/>
            <w:tcBorders>
              <w:top w:val="single" w:color="auto" w:sz="2" w:space="0"/>
              <w:left w:val="single" w:color="auto" w:sz="2" w:space="0"/>
              <w:bottom w:val="single" w:color="auto" w:sz="2" w:space="0"/>
              <w:right w:val="single" w:color="auto" w:sz="2" w:space="0"/>
            </w:tcBorders>
            <w:vAlign w:val="center"/>
          </w:tcPr>
          <w:p w14:paraId="3B7DE3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14,178.39</w:t>
            </w:r>
          </w:p>
        </w:tc>
        <w:tc>
          <w:tcPr>
            <w:tcW w:w="2410" w:type="dxa"/>
            <w:tcBorders>
              <w:top w:val="single" w:color="auto" w:sz="2" w:space="0"/>
              <w:left w:val="single" w:color="auto" w:sz="2" w:space="0"/>
              <w:bottom w:val="single" w:color="auto" w:sz="2" w:space="0"/>
              <w:right w:val="single" w:color="auto" w:sz="2" w:space="0"/>
            </w:tcBorders>
            <w:vAlign w:val="center"/>
          </w:tcPr>
          <w:p w14:paraId="0D42A9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-52,609.25</w:t>
            </w:r>
          </w:p>
        </w:tc>
        <w:tc>
          <w:tcPr>
            <w:tcW w:w="2410" w:type="dxa"/>
            <w:tcBorders>
              <w:top w:val="single" w:color="auto" w:sz="2" w:space="0"/>
              <w:left w:val="single" w:color="auto" w:sz="2" w:space="0"/>
              <w:bottom w:val="single" w:color="auto" w:sz="2" w:space="0"/>
              <w:right w:val="single" w:color="auto" w:sz="2" w:space="0"/>
            </w:tcBorders>
            <w:vAlign w:val="center"/>
          </w:tcPr>
          <w:p w14:paraId="0D3BB1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14,178.39</w:t>
            </w:r>
          </w:p>
        </w:tc>
      </w:tr>
      <w:tr w14:paraId="48860D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CCCA1D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非流动资产报废利得</w:t>
            </w:r>
          </w:p>
        </w:tc>
        <w:tc>
          <w:tcPr>
            <w:tcW w:w="2410" w:type="dxa"/>
            <w:tcBorders>
              <w:top w:val="single" w:color="auto" w:sz="2" w:space="0"/>
              <w:left w:val="single" w:color="auto" w:sz="2" w:space="0"/>
              <w:bottom w:val="single" w:color="auto" w:sz="2" w:space="0"/>
              <w:right w:val="single" w:color="auto" w:sz="2" w:space="0"/>
            </w:tcBorders>
            <w:vAlign w:val="center"/>
          </w:tcPr>
          <w:p w14:paraId="7CADAB7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4,952.00</w:t>
            </w:r>
          </w:p>
        </w:tc>
        <w:tc>
          <w:tcPr>
            <w:tcW w:w="2410" w:type="dxa"/>
            <w:tcBorders>
              <w:top w:val="single" w:color="auto" w:sz="2" w:space="0"/>
              <w:left w:val="single" w:color="auto" w:sz="2" w:space="0"/>
              <w:bottom w:val="single" w:color="auto" w:sz="2" w:space="0"/>
              <w:right w:val="single" w:color="auto" w:sz="2" w:space="0"/>
            </w:tcBorders>
            <w:vAlign w:val="center"/>
          </w:tcPr>
          <w:p w14:paraId="22AE9376">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F108AD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4,952.00</w:t>
            </w:r>
          </w:p>
        </w:tc>
      </w:tr>
      <w:tr w14:paraId="6FB7C9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A0ABDA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1F43F3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311,985.86</w:t>
            </w:r>
          </w:p>
        </w:tc>
        <w:tc>
          <w:tcPr>
            <w:tcW w:w="2410" w:type="dxa"/>
            <w:tcBorders>
              <w:top w:val="single" w:color="auto" w:sz="2" w:space="0"/>
              <w:left w:val="single" w:color="auto" w:sz="2" w:space="0"/>
              <w:bottom w:val="single" w:color="auto" w:sz="2" w:space="0"/>
              <w:right w:val="single" w:color="auto" w:sz="2" w:space="0"/>
            </w:tcBorders>
            <w:vAlign w:val="center"/>
          </w:tcPr>
          <w:p w14:paraId="25F8C0A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16,380.46</w:t>
            </w:r>
          </w:p>
        </w:tc>
        <w:tc>
          <w:tcPr>
            <w:tcW w:w="2410" w:type="dxa"/>
            <w:tcBorders>
              <w:top w:val="single" w:color="auto" w:sz="2" w:space="0"/>
              <w:left w:val="single" w:color="auto" w:sz="2" w:space="0"/>
              <w:bottom w:val="single" w:color="auto" w:sz="2" w:space="0"/>
              <w:right w:val="single" w:color="auto" w:sz="2" w:space="0"/>
            </w:tcBorders>
            <w:vAlign w:val="center"/>
          </w:tcPr>
          <w:p w14:paraId="0C70BA0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311,985.86</w:t>
            </w:r>
          </w:p>
        </w:tc>
      </w:tr>
    </w:tbl>
    <w:p w14:paraId="44680C1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AE465A9">
      <w:pPr>
        <w:keepNext/>
        <w:keepLines/>
        <w:spacing w:before="300" w:after="300" w:line="280" w:lineRule="exact"/>
        <w:jc w:val="left"/>
        <w:outlineLvl w:val="2"/>
        <w:rPr>
          <w:rFonts w:ascii="宋体" w:hAnsi="宋体" w:eastAsia="宋体" w:cs="宋体"/>
          <w:b/>
          <w:bCs/>
          <w:color w:val="auto"/>
          <w:sz w:val="21"/>
          <w:szCs w:val="21"/>
        </w:rPr>
      </w:pPr>
      <w:bookmarkStart w:id="276" w:name="_Toc989252"/>
      <w:r>
        <w:rPr>
          <w:rFonts w:ascii="宋体" w:hAnsi="宋体" w:eastAsia="宋体" w:cs="宋体"/>
          <w:b/>
          <w:bCs/>
          <w:color w:val="auto"/>
          <w:sz w:val="21"/>
          <w:szCs w:val="21"/>
        </w:rPr>
        <w:t>75、营业外支出</w:t>
      </w:r>
      <w:bookmarkEnd w:id="276"/>
    </w:p>
    <w:p w14:paraId="13C7BBF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1415C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D6854F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3746F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3C0439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107FE5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计入当期非经常性损益的金额</w:t>
            </w:r>
          </w:p>
        </w:tc>
      </w:tr>
      <w:tr w14:paraId="69BF84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5579D0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对外捐赠</w:t>
            </w:r>
          </w:p>
        </w:tc>
        <w:tc>
          <w:tcPr>
            <w:tcW w:w="2410" w:type="dxa"/>
            <w:tcBorders>
              <w:top w:val="single" w:color="auto" w:sz="2" w:space="0"/>
              <w:left w:val="single" w:color="auto" w:sz="2" w:space="0"/>
              <w:bottom w:val="single" w:color="auto" w:sz="2" w:space="0"/>
              <w:right w:val="single" w:color="auto" w:sz="2" w:space="0"/>
            </w:tcBorders>
            <w:vAlign w:val="center"/>
          </w:tcPr>
          <w:p w14:paraId="54F29D9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260,500.00</w:t>
            </w:r>
          </w:p>
        </w:tc>
        <w:tc>
          <w:tcPr>
            <w:tcW w:w="2410" w:type="dxa"/>
            <w:tcBorders>
              <w:top w:val="single" w:color="auto" w:sz="2" w:space="0"/>
              <w:left w:val="single" w:color="auto" w:sz="2" w:space="0"/>
              <w:bottom w:val="single" w:color="auto" w:sz="2" w:space="0"/>
              <w:right w:val="single" w:color="auto" w:sz="2" w:space="0"/>
            </w:tcBorders>
            <w:vAlign w:val="center"/>
          </w:tcPr>
          <w:p w14:paraId="423149A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74,409.00</w:t>
            </w:r>
          </w:p>
        </w:tc>
        <w:tc>
          <w:tcPr>
            <w:tcW w:w="2410" w:type="dxa"/>
            <w:tcBorders>
              <w:top w:val="single" w:color="auto" w:sz="2" w:space="0"/>
              <w:left w:val="single" w:color="auto" w:sz="2" w:space="0"/>
              <w:bottom w:val="single" w:color="auto" w:sz="2" w:space="0"/>
              <w:right w:val="single" w:color="auto" w:sz="2" w:space="0"/>
            </w:tcBorders>
            <w:vAlign w:val="center"/>
          </w:tcPr>
          <w:p w14:paraId="1198AB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260,500.00</w:t>
            </w:r>
          </w:p>
        </w:tc>
      </w:tr>
      <w:tr w14:paraId="7528C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64FCD3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非流动资产毁损报废损失</w:t>
            </w:r>
          </w:p>
        </w:tc>
        <w:tc>
          <w:tcPr>
            <w:tcW w:w="2410" w:type="dxa"/>
            <w:tcBorders>
              <w:top w:val="single" w:color="auto" w:sz="2" w:space="0"/>
              <w:left w:val="single" w:color="auto" w:sz="2" w:space="0"/>
              <w:bottom w:val="single" w:color="auto" w:sz="2" w:space="0"/>
              <w:right w:val="single" w:color="auto" w:sz="2" w:space="0"/>
            </w:tcBorders>
            <w:vAlign w:val="center"/>
          </w:tcPr>
          <w:p w14:paraId="790072E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135,835.60</w:t>
            </w:r>
          </w:p>
        </w:tc>
        <w:tc>
          <w:tcPr>
            <w:tcW w:w="2410" w:type="dxa"/>
            <w:tcBorders>
              <w:top w:val="single" w:color="auto" w:sz="2" w:space="0"/>
              <w:left w:val="single" w:color="auto" w:sz="2" w:space="0"/>
              <w:bottom w:val="single" w:color="auto" w:sz="2" w:space="0"/>
              <w:right w:val="single" w:color="auto" w:sz="2" w:space="0"/>
            </w:tcBorders>
            <w:vAlign w:val="center"/>
          </w:tcPr>
          <w:p w14:paraId="3290E66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8,975.56</w:t>
            </w:r>
          </w:p>
        </w:tc>
        <w:tc>
          <w:tcPr>
            <w:tcW w:w="2410" w:type="dxa"/>
            <w:tcBorders>
              <w:top w:val="single" w:color="auto" w:sz="2" w:space="0"/>
              <w:left w:val="single" w:color="auto" w:sz="2" w:space="0"/>
              <w:bottom w:val="single" w:color="auto" w:sz="2" w:space="0"/>
              <w:right w:val="single" w:color="auto" w:sz="2" w:space="0"/>
            </w:tcBorders>
            <w:vAlign w:val="center"/>
          </w:tcPr>
          <w:p w14:paraId="26FB51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135,835.60</w:t>
            </w:r>
          </w:p>
        </w:tc>
      </w:tr>
      <w:tr w14:paraId="7843DB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531037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2410" w:type="dxa"/>
            <w:tcBorders>
              <w:top w:val="single" w:color="auto" w:sz="2" w:space="0"/>
              <w:left w:val="single" w:color="auto" w:sz="2" w:space="0"/>
              <w:bottom w:val="single" w:color="auto" w:sz="2" w:space="0"/>
              <w:right w:val="single" w:color="auto" w:sz="2" w:space="0"/>
            </w:tcBorders>
            <w:vAlign w:val="center"/>
          </w:tcPr>
          <w:p w14:paraId="077C73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38,648.95</w:t>
            </w:r>
          </w:p>
        </w:tc>
        <w:tc>
          <w:tcPr>
            <w:tcW w:w="2410" w:type="dxa"/>
            <w:tcBorders>
              <w:top w:val="single" w:color="auto" w:sz="2" w:space="0"/>
              <w:left w:val="single" w:color="auto" w:sz="2" w:space="0"/>
              <w:bottom w:val="single" w:color="auto" w:sz="2" w:space="0"/>
              <w:right w:val="single" w:color="auto" w:sz="2" w:space="0"/>
            </w:tcBorders>
            <w:vAlign w:val="center"/>
          </w:tcPr>
          <w:p w14:paraId="617C23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12,875.24</w:t>
            </w:r>
          </w:p>
        </w:tc>
        <w:tc>
          <w:tcPr>
            <w:tcW w:w="2410" w:type="dxa"/>
            <w:tcBorders>
              <w:top w:val="single" w:color="auto" w:sz="2" w:space="0"/>
              <w:left w:val="single" w:color="auto" w:sz="2" w:space="0"/>
              <w:bottom w:val="single" w:color="auto" w:sz="2" w:space="0"/>
              <w:right w:val="single" w:color="auto" w:sz="2" w:space="0"/>
            </w:tcBorders>
            <w:vAlign w:val="center"/>
          </w:tcPr>
          <w:p w14:paraId="777B1D4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38,648.95</w:t>
            </w:r>
          </w:p>
        </w:tc>
      </w:tr>
      <w:tr w14:paraId="2934BD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09394F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罚金滞纳金</w:t>
            </w:r>
          </w:p>
        </w:tc>
        <w:tc>
          <w:tcPr>
            <w:tcW w:w="2410" w:type="dxa"/>
            <w:tcBorders>
              <w:top w:val="single" w:color="auto" w:sz="2" w:space="0"/>
              <w:left w:val="single" w:color="auto" w:sz="2" w:space="0"/>
              <w:bottom w:val="single" w:color="auto" w:sz="2" w:space="0"/>
              <w:right w:val="single" w:color="auto" w:sz="2" w:space="0"/>
            </w:tcBorders>
            <w:vAlign w:val="center"/>
          </w:tcPr>
          <w:p w14:paraId="107D91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754,091.20</w:t>
            </w:r>
          </w:p>
        </w:tc>
        <w:tc>
          <w:tcPr>
            <w:tcW w:w="2410" w:type="dxa"/>
            <w:tcBorders>
              <w:top w:val="single" w:color="auto" w:sz="2" w:space="0"/>
              <w:left w:val="single" w:color="auto" w:sz="2" w:space="0"/>
              <w:bottom w:val="single" w:color="auto" w:sz="2" w:space="0"/>
              <w:right w:val="single" w:color="auto" w:sz="2" w:space="0"/>
            </w:tcBorders>
            <w:vAlign w:val="center"/>
          </w:tcPr>
          <w:p w14:paraId="10D14E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89.65</w:t>
            </w:r>
          </w:p>
        </w:tc>
        <w:tc>
          <w:tcPr>
            <w:tcW w:w="2410" w:type="dxa"/>
            <w:tcBorders>
              <w:top w:val="single" w:color="auto" w:sz="2" w:space="0"/>
              <w:left w:val="single" w:color="auto" w:sz="2" w:space="0"/>
              <w:bottom w:val="single" w:color="auto" w:sz="2" w:space="0"/>
              <w:right w:val="single" w:color="auto" w:sz="2" w:space="0"/>
            </w:tcBorders>
            <w:vAlign w:val="center"/>
          </w:tcPr>
          <w:p w14:paraId="6BD47E5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754,091.20</w:t>
            </w:r>
          </w:p>
        </w:tc>
      </w:tr>
      <w:tr w14:paraId="7248D4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CA44AF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0BAF713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1,189,075.75</w:t>
            </w:r>
          </w:p>
        </w:tc>
        <w:tc>
          <w:tcPr>
            <w:tcW w:w="2410" w:type="dxa"/>
            <w:tcBorders>
              <w:top w:val="single" w:color="auto" w:sz="2" w:space="0"/>
              <w:left w:val="single" w:color="auto" w:sz="2" w:space="0"/>
              <w:bottom w:val="single" w:color="auto" w:sz="2" w:space="0"/>
              <w:right w:val="single" w:color="auto" w:sz="2" w:space="0"/>
            </w:tcBorders>
            <w:vAlign w:val="center"/>
          </w:tcPr>
          <w:p w14:paraId="2CB64F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96,349.45</w:t>
            </w:r>
          </w:p>
        </w:tc>
        <w:tc>
          <w:tcPr>
            <w:tcW w:w="2410" w:type="dxa"/>
            <w:tcBorders>
              <w:top w:val="single" w:color="auto" w:sz="2" w:space="0"/>
              <w:left w:val="single" w:color="auto" w:sz="2" w:space="0"/>
              <w:bottom w:val="single" w:color="auto" w:sz="2" w:space="0"/>
              <w:right w:val="single" w:color="auto" w:sz="2" w:space="0"/>
            </w:tcBorders>
            <w:vAlign w:val="center"/>
          </w:tcPr>
          <w:p w14:paraId="2FE9985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1,189,075.75</w:t>
            </w:r>
          </w:p>
        </w:tc>
      </w:tr>
    </w:tbl>
    <w:p w14:paraId="3AA3077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94FBF86">
      <w:pPr>
        <w:keepNext/>
        <w:keepLines/>
        <w:spacing w:before="300" w:after="300" w:line="280" w:lineRule="exact"/>
        <w:jc w:val="left"/>
        <w:outlineLvl w:val="2"/>
        <w:rPr>
          <w:rFonts w:ascii="宋体" w:hAnsi="宋体" w:eastAsia="宋体" w:cs="宋体"/>
          <w:b/>
          <w:bCs/>
          <w:color w:val="auto"/>
          <w:sz w:val="21"/>
          <w:szCs w:val="21"/>
        </w:rPr>
      </w:pPr>
      <w:bookmarkStart w:id="277" w:name="_Toc989253"/>
      <w:r>
        <w:rPr>
          <w:rFonts w:ascii="宋体" w:hAnsi="宋体" w:eastAsia="宋体" w:cs="宋体"/>
          <w:b/>
          <w:bCs/>
          <w:color w:val="auto"/>
          <w:sz w:val="21"/>
          <w:szCs w:val="21"/>
        </w:rPr>
        <w:t>76、所得税费用</w:t>
      </w:r>
      <w:bookmarkEnd w:id="277"/>
    </w:p>
    <w:p w14:paraId="53803414">
      <w:pPr>
        <w:keepNext/>
        <w:keepLines/>
        <w:spacing w:before="300" w:after="300" w:line="280" w:lineRule="exact"/>
        <w:jc w:val="left"/>
        <w:outlineLvl w:val="3"/>
        <w:rPr>
          <w:rFonts w:ascii="宋体" w:hAnsi="宋体" w:eastAsia="宋体" w:cs="宋体"/>
          <w:b/>
          <w:bCs/>
          <w:color w:val="auto"/>
          <w:sz w:val="21"/>
          <w:szCs w:val="21"/>
        </w:rPr>
      </w:pPr>
      <w:bookmarkStart w:id="278" w:name="_Toc989254"/>
      <w:r>
        <w:rPr>
          <w:rFonts w:ascii="宋体" w:hAnsi="宋体" w:eastAsia="宋体" w:cs="宋体"/>
          <w:b/>
          <w:bCs/>
          <w:color w:val="auto"/>
          <w:sz w:val="21"/>
          <w:szCs w:val="21"/>
        </w:rPr>
        <w:t>（1）所得税费用表</w:t>
      </w:r>
      <w:bookmarkEnd w:id="278"/>
    </w:p>
    <w:p w14:paraId="27092B0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40BA0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7F65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F2D1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B5898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4DDF07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8FCE7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当期所得税费用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1AF30E8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8,027,014.92</w:t>
            </w:r>
          </w:p>
        </w:tc>
        <w:tc>
          <w:tcPr>
            <w:tcW w:w="3213" w:type="dxa"/>
            <w:tcBorders>
              <w:top w:val="single" w:color="auto" w:sz="2" w:space="0"/>
              <w:left w:val="single" w:color="auto" w:sz="2" w:space="0"/>
              <w:bottom w:val="single" w:color="auto" w:sz="2" w:space="0"/>
              <w:right w:val="single" w:color="auto" w:sz="2" w:space="0"/>
            </w:tcBorders>
            <w:vAlign w:val="center"/>
          </w:tcPr>
          <w:p w14:paraId="5F5293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3,090,865.11</w:t>
            </w:r>
          </w:p>
        </w:tc>
      </w:tr>
      <w:tr w14:paraId="35B4EC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E1C4A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递延所得税费用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6E2263C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-141,218.71</w:t>
            </w:r>
          </w:p>
        </w:tc>
        <w:tc>
          <w:tcPr>
            <w:tcW w:w="3213" w:type="dxa"/>
            <w:tcBorders>
              <w:top w:val="single" w:color="auto" w:sz="2" w:space="0"/>
              <w:left w:val="single" w:color="auto" w:sz="2" w:space="0"/>
              <w:bottom w:val="single" w:color="auto" w:sz="2" w:space="0"/>
              <w:right w:val="single" w:color="auto" w:sz="2" w:space="0"/>
            </w:tcBorders>
            <w:vAlign w:val="center"/>
          </w:tcPr>
          <w:p w14:paraId="58DDFA9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-1,161,495.81</w:t>
            </w:r>
          </w:p>
        </w:tc>
      </w:tr>
      <w:tr w14:paraId="503FE3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6C34F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CE51E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7,885,796.21</w:t>
            </w:r>
          </w:p>
        </w:tc>
        <w:tc>
          <w:tcPr>
            <w:tcW w:w="3213" w:type="dxa"/>
            <w:tcBorders>
              <w:top w:val="single" w:color="auto" w:sz="2" w:space="0"/>
              <w:left w:val="single" w:color="auto" w:sz="2" w:space="0"/>
              <w:bottom w:val="single" w:color="auto" w:sz="2" w:space="0"/>
              <w:right w:val="single" w:color="auto" w:sz="2" w:space="0"/>
            </w:tcBorders>
            <w:vAlign w:val="center"/>
          </w:tcPr>
          <w:p w14:paraId="4D66B1A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1,929,369.30</w:t>
            </w:r>
          </w:p>
        </w:tc>
      </w:tr>
    </w:tbl>
    <w:p w14:paraId="73D73AD5">
      <w:pPr>
        <w:keepNext/>
        <w:keepLines/>
        <w:spacing w:before="300" w:after="300" w:line="280" w:lineRule="exact"/>
        <w:jc w:val="left"/>
        <w:outlineLvl w:val="3"/>
        <w:rPr>
          <w:rFonts w:ascii="宋体" w:hAnsi="宋体" w:eastAsia="宋体" w:cs="宋体"/>
          <w:b/>
          <w:bCs/>
          <w:color w:val="auto"/>
          <w:sz w:val="21"/>
          <w:szCs w:val="21"/>
        </w:rPr>
      </w:pPr>
      <w:bookmarkStart w:id="279" w:name="_Toc989255"/>
      <w:r>
        <w:rPr>
          <w:rFonts w:ascii="宋体" w:hAnsi="宋体" w:eastAsia="宋体" w:cs="宋体"/>
          <w:b/>
          <w:bCs/>
          <w:color w:val="auto"/>
          <w:sz w:val="21"/>
          <w:szCs w:val="21"/>
        </w:rPr>
        <w:t>（2）会计利润与所得税费用调整过程</w:t>
      </w:r>
      <w:bookmarkEnd w:id="279"/>
    </w:p>
    <w:p w14:paraId="1468499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1793D4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17B37B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715B69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r>
      <w:tr w14:paraId="4969E8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432FC1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利润总额</w:t>
            </w:r>
          </w:p>
        </w:tc>
        <w:tc>
          <w:tcPr>
            <w:tcW w:w="4820" w:type="dxa"/>
            <w:tcBorders>
              <w:top w:val="single" w:color="auto" w:sz="2" w:space="0"/>
              <w:left w:val="single" w:color="auto" w:sz="2" w:space="0"/>
              <w:bottom w:val="single" w:color="auto" w:sz="2" w:space="0"/>
              <w:right w:val="single" w:color="auto" w:sz="2" w:space="0"/>
            </w:tcBorders>
            <w:vAlign w:val="center"/>
          </w:tcPr>
          <w:p w14:paraId="2CD42A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-62,521,477.64</w:t>
            </w:r>
          </w:p>
        </w:tc>
      </w:tr>
      <w:tr w14:paraId="7FFBDB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54A138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按法定/适用税率计算的所得税费用</w:t>
            </w:r>
          </w:p>
        </w:tc>
        <w:tc>
          <w:tcPr>
            <w:tcW w:w="4820" w:type="dxa"/>
            <w:tcBorders>
              <w:top w:val="single" w:color="auto" w:sz="2" w:space="0"/>
              <w:left w:val="single" w:color="auto" w:sz="2" w:space="0"/>
              <w:bottom w:val="single" w:color="auto" w:sz="2" w:space="0"/>
              <w:right w:val="single" w:color="auto" w:sz="2" w:space="0"/>
            </w:tcBorders>
            <w:vAlign w:val="center"/>
          </w:tcPr>
          <w:p w14:paraId="504F89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-9,378,221.65</w:t>
            </w:r>
          </w:p>
        </w:tc>
      </w:tr>
      <w:tr w14:paraId="123473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883F9E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子公司适用不同税率的影响</w:t>
            </w:r>
          </w:p>
        </w:tc>
        <w:tc>
          <w:tcPr>
            <w:tcW w:w="4820" w:type="dxa"/>
            <w:tcBorders>
              <w:top w:val="single" w:color="auto" w:sz="2" w:space="0"/>
              <w:left w:val="single" w:color="auto" w:sz="2" w:space="0"/>
              <w:bottom w:val="single" w:color="auto" w:sz="2" w:space="0"/>
              <w:right w:val="single" w:color="auto" w:sz="2" w:space="0"/>
            </w:tcBorders>
            <w:vAlign w:val="center"/>
          </w:tcPr>
          <w:p w14:paraId="08A66B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17,264,017.86</w:t>
            </w:r>
          </w:p>
        </w:tc>
      </w:tr>
      <w:tr w14:paraId="5531B3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764F96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所得税费用</w:t>
            </w:r>
          </w:p>
        </w:tc>
        <w:tc>
          <w:tcPr>
            <w:tcW w:w="4820" w:type="dxa"/>
            <w:tcBorders>
              <w:top w:val="single" w:color="auto" w:sz="2" w:space="0"/>
              <w:left w:val="single" w:color="auto" w:sz="2" w:space="0"/>
              <w:bottom w:val="single" w:color="auto" w:sz="2" w:space="0"/>
              <w:right w:val="single" w:color="auto" w:sz="2" w:space="0"/>
            </w:tcBorders>
            <w:vAlign w:val="center"/>
          </w:tcPr>
          <w:p w14:paraId="2487ADD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7,885,796.21</w:t>
            </w:r>
          </w:p>
        </w:tc>
      </w:tr>
    </w:tbl>
    <w:p w14:paraId="35358A2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4B1B657">
      <w:pPr>
        <w:keepNext/>
        <w:keepLines/>
        <w:spacing w:before="300" w:after="300" w:line="280" w:lineRule="exact"/>
        <w:jc w:val="left"/>
        <w:outlineLvl w:val="2"/>
        <w:rPr>
          <w:rFonts w:ascii="宋体" w:hAnsi="宋体" w:eastAsia="宋体" w:cs="宋体"/>
          <w:b/>
          <w:bCs/>
          <w:color w:val="auto"/>
          <w:sz w:val="21"/>
          <w:szCs w:val="21"/>
        </w:rPr>
      </w:pPr>
      <w:bookmarkStart w:id="280" w:name="_Toc989256"/>
      <w:r>
        <w:rPr>
          <w:rFonts w:ascii="宋体" w:hAnsi="宋体" w:eastAsia="宋体" w:cs="宋体"/>
          <w:b/>
          <w:bCs/>
          <w:color w:val="auto"/>
          <w:sz w:val="21"/>
          <w:szCs w:val="21"/>
        </w:rPr>
        <w:t>77、其他综合收益</w:t>
      </w:r>
      <w:bookmarkEnd w:id="280"/>
    </w:p>
    <w:p w14:paraId="2792A7E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详见附注</w:t>
      </w:r>
    </w:p>
    <w:p w14:paraId="2CB96882">
      <w:pPr>
        <w:keepNext/>
        <w:keepLines/>
        <w:spacing w:before="300" w:after="300" w:line="280" w:lineRule="exact"/>
        <w:jc w:val="left"/>
        <w:outlineLvl w:val="2"/>
        <w:rPr>
          <w:rFonts w:ascii="宋体" w:hAnsi="宋体" w:eastAsia="宋体" w:cs="宋体"/>
          <w:b/>
          <w:bCs/>
          <w:color w:val="auto"/>
          <w:sz w:val="21"/>
          <w:szCs w:val="21"/>
        </w:rPr>
      </w:pPr>
      <w:bookmarkStart w:id="281" w:name="_Toc989257"/>
      <w:r>
        <w:rPr>
          <w:rFonts w:ascii="宋体" w:hAnsi="宋体" w:eastAsia="宋体" w:cs="宋体"/>
          <w:b/>
          <w:bCs/>
          <w:color w:val="auto"/>
          <w:sz w:val="21"/>
          <w:szCs w:val="21"/>
        </w:rPr>
        <w:t>78、现金流量表项目</w:t>
      </w:r>
      <w:bookmarkEnd w:id="281"/>
    </w:p>
    <w:p w14:paraId="19AD21B2">
      <w:pPr>
        <w:keepNext/>
        <w:keepLines/>
        <w:spacing w:before="300" w:after="300" w:line="280" w:lineRule="exact"/>
        <w:jc w:val="left"/>
        <w:outlineLvl w:val="3"/>
        <w:rPr>
          <w:rFonts w:ascii="宋体" w:hAnsi="宋体" w:eastAsia="宋体" w:cs="宋体"/>
          <w:b/>
          <w:bCs/>
          <w:color w:val="auto"/>
          <w:sz w:val="21"/>
          <w:szCs w:val="21"/>
        </w:rPr>
      </w:pPr>
      <w:bookmarkStart w:id="282" w:name="_Toc989258"/>
      <w:r>
        <w:rPr>
          <w:rFonts w:ascii="宋体" w:hAnsi="宋体" w:eastAsia="宋体" w:cs="宋体"/>
          <w:b/>
          <w:bCs/>
          <w:color w:val="auto"/>
          <w:sz w:val="21"/>
          <w:szCs w:val="21"/>
        </w:rPr>
        <w:t>（1）与经营活动有关的现金</w:t>
      </w:r>
      <w:bookmarkEnd w:id="282"/>
    </w:p>
    <w:p w14:paraId="164FA86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收到的其他与经营活动有关的现金</w:t>
      </w:r>
    </w:p>
    <w:p w14:paraId="1A829D1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739A8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E24E1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AFF6E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B519F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7620C5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4692EF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客户保证金</w:t>
            </w:r>
          </w:p>
        </w:tc>
        <w:tc>
          <w:tcPr>
            <w:tcW w:w="3213" w:type="dxa"/>
            <w:tcBorders>
              <w:top w:val="single" w:color="auto" w:sz="2" w:space="0"/>
              <w:left w:val="single" w:color="auto" w:sz="2" w:space="0"/>
              <w:bottom w:val="single" w:color="auto" w:sz="2" w:space="0"/>
              <w:right w:val="single" w:color="auto" w:sz="2" w:space="0"/>
            </w:tcBorders>
            <w:vAlign w:val="center"/>
          </w:tcPr>
          <w:p w14:paraId="14ABDC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9,591,060.04</w:t>
            </w:r>
          </w:p>
        </w:tc>
        <w:tc>
          <w:tcPr>
            <w:tcW w:w="3213" w:type="dxa"/>
            <w:tcBorders>
              <w:top w:val="single" w:color="auto" w:sz="2" w:space="0"/>
              <w:left w:val="single" w:color="auto" w:sz="2" w:space="0"/>
              <w:bottom w:val="single" w:color="auto" w:sz="2" w:space="0"/>
              <w:right w:val="single" w:color="auto" w:sz="2" w:space="0"/>
            </w:tcBorders>
            <w:vAlign w:val="center"/>
          </w:tcPr>
          <w:p w14:paraId="135359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676,362.00</w:t>
            </w:r>
          </w:p>
        </w:tc>
      </w:tr>
      <w:tr w14:paraId="41D3C6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73D069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政府补助</w:t>
            </w:r>
          </w:p>
        </w:tc>
        <w:tc>
          <w:tcPr>
            <w:tcW w:w="3213" w:type="dxa"/>
            <w:tcBorders>
              <w:top w:val="single" w:color="auto" w:sz="2" w:space="0"/>
              <w:left w:val="single" w:color="auto" w:sz="2" w:space="0"/>
              <w:bottom w:val="single" w:color="auto" w:sz="2" w:space="0"/>
              <w:right w:val="single" w:color="auto" w:sz="2" w:space="0"/>
            </w:tcBorders>
            <w:vAlign w:val="center"/>
          </w:tcPr>
          <w:p w14:paraId="029905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3,462,152.55</w:t>
            </w:r>
          </w:p>
        </w:tc>
        <w:tc>
          <w:tcPr>
            <w:tcW w:w="3213" w:type="dxa"/>
            <w:tcBorders>
              <w:top w:val="single" w:color="auto" w:sz="2" w:space="0"/>
              <w:left w:val="single" w:color="auto" w:sz="2" w:space="0"/>
              <w:bottom w:val="single" w:color="auto" w:sz="2" w:space="0"/>
              <w:right w:val="single" w:color="auto" w:sz="2" w:space="0"/>
            </w:tcBorders>
            <w:vAlign w:val="center"/>
          </w:tcPr>
          <w:p w14:paraId="7F0F41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12,622,266.46</w:t>
            </w:r>
          </w:p>
        </w:tc>
      </w:tr>
      <w:tr w14:paraId="707838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E1D3A3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存款利息</w:t>
            </w:r>
          </w:p>
        </w:tc>
        <w:tc>
          <w:tcPr>
            <w:tcW w:w="3213" w:type="dxa"/>
            <w:tcBorders>
              <w:top w:val="single" w:color="auto" w:sz="2" w:space="0"/>
              <w:left w:val="single" w:color="auto" w:sz="2" w:space="0"/>
              <w:bottom w:val="single" w:color="auto" w:sz="2" w:space="0"/>
              <w:right w:val="single" w:color="auto" w:sz="2" w:space="0"/>
            </w:tcBorders>
            <w:vAlign w:val="center"/>
          </w:tcPr>
          <w:p w14:paraId="60F5167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822,497.34</w:t>
            </w:r>
          </w:p>
        </w:tc>
        <w:tc>
          <w:tcPr>
            <w:tcW w:w="3213" w:type="dxa"/>
            <w:tcBorders>
              <w:top w:val="single" w:color="auto" w:sz="2" w:space="0"/>
              <w:left w:val="single" w:color="auto" w:sz="2" w:space="0"/>
              <w:bottom w:val="single" w:color="auto" w:sz="2" w:space="0"/>
              <w:right w:val="single" w:color="auto" w:sz="2" w:space="0"/>
            </w:tcBorders>
            <w:vAlign w:val="center"/>
          </w:tcPr>
          <w:p w14:paraId="08CBBE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1,005,134.85</w:t>
            </w:r>
          </w:p>
        </w:tc>
      </w:tr>
      <w:tr w14:paraId="126722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9FB5F1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5C4D5E5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303,216.95</w:t>
            </w:r>
          </w:p>
        </w:tc>
        <w:tc>
          <w:tcPr>
            <w:tcW w:w="3213" w:type="dxa"/>
            <w:tcBorders>
              <w:top w:val="single" w:color="auto" w:sz="2" w:space="0"/>
              <w:left w:val="single" w:color="auto" w:sz="2" w:space="0"/>
              <w:bottom w:val="single" w:color="auto" w:sz="2" w:space="0"/>
              <w:right w:val="single" w:color="auto" w:sz="2" w:space="0"/>
            </w:tcBorders>
            <w:vAlign w:val="center"/>
          </w:tcPr>
          <w:p w14:paraId="2913D7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227,989.97</w:t>
            </w:r>
          </w:p>
        </w:tc>
      </w:tr>
      <w:tr w14:paraId="4F05AA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3B626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0031B0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14,178,926.88</w:t>
            </w:r>
          </w:p>
        </w:tc>
        <w:tc>
          <w:tcPr>
            <w:tcW w:w="3213" w:type="dxa"/>
            <w:tcBorders>
              <w:top w:val="single" w:color="auto" w:sz="2" w:space="0"/>
              <w:left w:val="single" w:color="auto" w:sz="2" w:space="0"/>
              <w:bottom w:val="single" w:color="auto" w:sz="2" w:space="0"/>
              <w:right w:val="single" w:color="auto" w:sz="2" w:space="0"/>
            </w:tcBorders>
            <w:vAlign w:val="center"/>
          </w:tcPr>
          <w:p w14:paraId="6779B6B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14,531,753.28</w:t>
            </w:r>
          </w:p>
        </w:tc>
      </w:tr>
    </w:tbl>
    <w:p w14:paraId="0545620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收到的其他与经营活动有关的现金说明：</w:t>
      </w:r>
    </w:p>
    <w:p w14:paraId="53AB578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支付的其他与经营活动有关的现金</w:t>
      </w:r>
    </w:p>
    <w:p w14:paraId="4580676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504CA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E640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64A4A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74F9D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389BD7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7BEF71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费用支出</w:t>
            </w:r>
          </w:p>
        </w:tc>
        <w:tc>
          <w:tcPr>
            <w:tcW w:w="3213" w:type="dxa"/>
            <w:tcBorders>
              <w:top w:val="single" w:color="auto" w:sz="2" w:space="0"/>
              <w:left w:val="single" w:color="auto" w:sz="2" w:space="0"/>
              <w:bottom w:val="single" w:color="auto" w:sz="2" w:space="0"/>
              <w:right w:val="single" w:color="auto" w:sz="2" w:space="0"/>
            </w:tcBorders>
            <w:vAlign w:val="center"/>
          </w:tcPr>
          <w:p w14:paraId="68C693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111,586,146.86</w:t>
            </w:r>
          </w:p>
        </w:tc>
        <w:tc>
          <w:tcPr>
            <w:tcW w:w="3213" w:type="dxa"/>
            <w:tcBorders>
              <w:top w:val="single" w:color="auto" w:sz="2" w:space="0"/>
              <w:left w:val="single" w:color="auto" w:sz="2" w:space="0"/>
              <w:bottom w:val="single" w:color="auto" w:sz="2" w:space="0"/>
              <w:right w:val="single" w:color="auto" w:sz="2" w:space="0"/>
            </w:tcBorders>
            <w:vAlign w:val="center"/>
          </w:tcPr>
          <w:p w14:paraId="1F65A6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93,179,635.55</w:t>
            </w:r>
          </w:p>
        </w:tc>
      </w:tr>
      <w:tr w14:paraId="4B4B9D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5949FD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往来款</w:t>
            </w:r>
          </w:p>
        </w:tc>
        <w:tc>
          <w:tcPr>
            <w:tcW w:w="3213" w:type="dxa"/>
            <w:tcBorders>
              <w:top w:val="single" w:color="auto" w:sz="2" w:space="0"/>
              <w:left w:val="single" w:color="auto" w:sz="2" w:space="0"/>
              <w:bottom w:val="single" w:color="auto" w:sz="2" w:space="0"/>
              <w:right w:val="single" w:color="auto" w:sz="2" w:space="0"/>
            </w:tcBorders>
            <w:vAlign w:val="center"/>
          </w:tcPr>
          <w:p w14:paraId="689539B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26,346.10</w:t>
            </w:r>
          </w:p>
        </w:tc>
        <w:tc>
          <w:tcPr>
            <w:tcW w:w="3213" w:type="dxa"/>
            <w:tcBorders>
              <w:top w:val="single" w:color="auto" w:sz="2" w:space="0"/>
              <w:left w:val="single" w:color="auto" w:sz="2" w:space="0"/>
              <w:bottom w:val="single" w:color="auto" w:sz="2" w:space="0"/>
              <w:right w:val="single" w:color="auto" w:sz="2" w:space="0"/>
            </w:tcBorders>
            <w:vAlign w:val="center"/>
          </w:tcPr>
          <w:p w14:paraId="48A782D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46,028.84</w:t>
            </w:r>
          </w:p>
        </w:tc>
      </w:tr>
      <w:tr w14:paraId="4BC9C7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305D04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1B518F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160,600.00</w:t>
            </w:r>
          </w:p>
        </w:tc>
        <w:tc>
          <w:tcPr>
            <w:tcW w:w="3213" w:type="dxa"/>
            <w:tcBorders>
              <w:top w:val="single" w:color="auto" w:sz="2" w:space="0"/>
              <w:left w:val="single" w:color="auto" w:sz="2" w:space="0"/>
              <w:bottom w:val="single" w:color="auto" w:sz="2" w:space="0"/>
              <w:right w:val="single" w:color="auto" w:sz="2" w:space="0"/>
            </w:tcBorders>
            <w:vAlign w:val="center"/>
          </w:tcPr>
          <w:p w14:paraId="725E81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41,664.40</w:t>
            </w:r>
          </w:p>
        </w:tc>
      </w:tr>
      <w:tr w14:paraId="27BAF3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6E701E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退保证金</w:t>
            </w:r>
          </w:p>
        </w:tc>
        <w:tc>
          <w:tcPr>
            <w:tcW w:w="3213" w:type="dxa"/>
            <w:tcBorders>
              <w:top w:val="single" w:color="auto" w:sz="2" w:space="0"/>
              <w:left w:val="single" w:color="auto" w:sz="2" w:space="0"/>
              <w:bottom w:val="single" w:color="auto" w:sz="2" w:space="0"/>
              <w:right w:val="single" w:color="auto" w:sz="2" w:space="0"/>
            </w:tcBorders>
            <w:vAlign w:val="center"/>
          </w:tcPr>
          <w:p w14:paraId="278F9A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8,067,598.89</w:t>
            </w:r>
          </w:p>
        </w:tc>
        <w:tc>
          <w:tcPr>
            <w:tcW w:w="3213" w:type="dxa"/>
            <w:tcBorders>
              <w:top w:val="single" w:color="auto" w:sz="2" w:space="0"/>
              <w:left w:val="single" w:color="auto" w:sz="2" w:space="0"/>
              <w:bottom w:val="single" w:color="auto" w:sz="2" w:space="0"/>
              <w:right w:val="single" w:color="auto" w:sz="2" w:space="0"/>
            </w:tcBorders>
            <w:vAlign w:val="center"/>
          </w:tcPr>
          <w:p w14:paraId="3DEEFE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4,271,062.78</w:t>
            </w:r>
          </w:p>
        </w:tc>
      </w:tr>
      <w:tr w14:paraId="386488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42272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688F13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119,840,691.85</w:t>
            </w:r>
          </w:p>
        </w:tc>
        <w:tc>
          <w:tcPr>
            <w:tcW w:w="3213" w:type="dxa"/>
            <w:tcBorders>
              <w:top w:val="single" w:color="auto" w:sz="2" w:space="0"/>
              <w:left w:val="single" w:color="auto" w:sz="2" w:space="0"/>
              <w:bottom w:val="single" w:color="auto" w:sz="2" w:space="0"/>
              <w:right w:val="single" w:color="auto" w:sz="2" w:space="0"/>
            </w:tcBorders>
            <w:vAlign w:val="center"/>
          </w:tcPr>
          <w:p w14:paraId="52BA2C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97,538,391.57</w:t>
            </w:r>
          </w:p>
        </w:tc>
      </w:tr>
    </w:tbl>
    <w:p w14:paraId="4B81879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支付的其他与经营活动有关的现金说明：</w:t>
      </w:r>
    </w:p>
    <w:p w14:paraId="5DFEEE4A">
      <w:pPr>
        <w:keepNext/>
        <w:keepLines/>
        <w:spacing w:before="300" w:after="300" w:line="280" w:lineRule="exact"/>
        <w:jc w:val="left"/>
        <w:outlineLvl w:val="3"/>
        <w:rPr>
          <w:rFonts w:ascii="宋体" w:hAnsi="宋体" w:eastAsia="宋体" w:cs="宋体"/>
          <w:b/>
          <w:bCs/>
          <w:color w:val="auto"/>
          <w:sz w:val="21"/>
          <w:szCs w:val="21"/>
        </w:rPr>
      </w:pPr>
      <w:bookmarkStart w:id="283" w:name="_Toc989259"/>
      <w:r>
        <w:rPr>
          <w:rFonts w:ascii="宋体" w:hAnsi="宋体" w:eastAsia="宋体" w:cs="宋体"/>
          <w:b/>
          <w:bCs/>
          <w:color w:val="auto"/>
          <w:sz w:val="21"/>
          <w:szCs w:val="21"/>
        </w:rPr>
        <w:t>（2）与投资活动有关的现金</w:t>
      </w:r>
      <w:bookmarkEnd w:id="283"/>
    </w:p>
    <w:p w14:paraId="7F6F3A5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收到的其他与投资活动有关的现金</w:t>
      </w:r>
    </w:p>
    <w:p w14:paraId="483AF6B2">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CB97D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F997B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6AA40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C65FC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41E3662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收到的重要的与投资活动有关的现金</w:t>
      </w:r>
    </w:p>
    <w:p w14:paraId="5509AA00">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9FAC2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29B3C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2DBEE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7F76B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4B9AD81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收到的其他与投资活动有关的现金说明：</w:t>
      </w:r>
    </w:p>
    <w:p w14:paraId="63B01BB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支付的其他与投资活动有关的现金</w:t>
      </w:r>
    </w:p>
    <w:p w14:paraId="575C142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F942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30FEE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F83A3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6E39B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1BCD6D1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支付的重要的与投资活动有关的现金</w:t>
      </w:r>
    </w:p>
    <w:p w14:paraId="184CB05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50B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E2F20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AC814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89743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3FBEE18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支付的其他与投资活动有关的现金说明：</w:t>
      </w:r>
    </w:p>
    <w:p w14:paraId="52F178CA">
      <w:pPr>
        <w:keepNext/>
        <w:keepLines/>
        <w:spacing w:before="300" w:after="300" w:line="280" w:lineRule="exact"/>
        <w:jc w:val="left"/>
        <w:outlineLvl w:val="3"/>
        <w:rPr>
          <w:rFonts w:ascii="宋体" w:hAnsi="宋体" w:eastAsia="宋体" w:cs="宋体"/>
          <w:b/>
          <w:bCs/>
          <w:color w:val="auto"/>
          <w:sz w:val="21"/>
          <w:szCs w:val="21"/>
        </w:rPr>
      </w:pPr>
      <w:bookmarkStart w:id="284" w:name="_Toc989260"/>
      <w:r>
        <w:rPr>
          <w:rFonts w:ascii="宋体" w:hAnsi="宋体" w:eastAsia="宋体" w:cs="宋体"/>
          <w:b/>
          <w:bCs/>
          <w:color w:val="auto"/>
          <w:sz w:val="21"/>
          <w:szCs w:val="21"/>
        </w:rPr>
        <w:t>（3）与筹资活动有关的现金</w:t>
      </w:r>
      <w:bookmarkEnd w:id="284"/>
    </w:p>
    <w:p w14:paraId="4691A90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收到的其他与筹资活动有关的现金</w:t>
      </w:r>
    </w:p>
    <w:p w14:paraId="4FF8DF1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7F6A5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C9A60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46ACE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DF112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1AA0736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收到的其他与筹资活动有关的现金说明：</w:t>
      </w:r>
    </w:p>
    <w:p w14:paraId="7924918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支付的其他与筹资活动有关的现金</w:t>
      </w:r>
    </w:p>
    <w:p w14:paraId="4E68B24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55436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1AE3E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506E5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A4EFD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3F9D25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1B4DED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再融资保荐费</w:t>
            </w:r>
          </w:p>
        </w:tc>
        <w:tc>
          <w:tcPr>
            <w:tcW w:w="3213" w:type="dxa"/>
            <w:tcBorders>
              <w:top w:val="single" w:color="auto" w:sz="2" w:space="0"/>
              <w:left w:val="single" w:color="auto" w:sz="2" w:space="0"/>
              <w:bottom w:val="single" w:color="auto" w:sz="2" w:space="0"/>
              <w:right w:val="single" w:color="auto" w:sz="2" w:space="0"/>
            </w:tcBorders>
            <w:vAlign w:val="center"/>
          </w:tcPr>
          <w:p w14:paraId="4AA66F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800,000.00</w:t>
            </w:r>
          </w:p>
        </w:tc>
        <w:tc>
          <w:tcPr>
            <w:tcW w:w="3213" w:type="dxa"/>
            <w:tcBorders>
              <w:top w:val="single" w:color="auto" w:sz="2" w:space="0"/>
              <w:left w:val="single" w:color="auto" w:sz="2" w:space="0"/>
              <w:bottom w:val="single" w:color="auto" w:sz="2" w:space="0"/>
              <w:right w:val="single" w:color="auto" w:sz="2" w:space="0"/>
            </w:tcBorders>
            <w:vAlign w:val="center"/>
          </w:tcPr>
          <w:p w14:paraId="466A0F63">
            <w:pPr>
              <w:spacing w:before="0" w:after="0" w:line="240" w:lineRule="exact"/>
              <w:jc w:val="right"/>
              <w:rPr>
                <w:rFonts w:ascii="宋体" w:hAnsi="宋体" w:eastAsia="宋体" w:cs="宋体"/>
                <w:color w:val="auto"/>
                <w:sz w:val="18"/>
                <w:szCs w:val="18"/>
              </w:rPr>
            </w:pPr>
          </w:p>
        </w:tc>
      </w:tr>
      <w:tr w14:paraId="519B58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1AFF3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0ECA64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800,000.00</w:t>
            </w:r>
          </w:p>
        </w:tc>
        <w:tc>
          <w:tcPr>
            <w:tcW w:w="3213" w:type="dxa"/>
            <w:tcBorders>
              <w:top w:val="single" w:color="auto" w:sz="2" w:space="0"/>
              <w:left w:val="single" w:color="auto" w:sz="2" w:space="0"/>
              <w:bottom w:val="single" w:color="auto" w:sz="2" w:space="0"/>
              <w:right w:val="single" w:color="auto" w:sz="2" w:space="0"/>
            </w:tcBorders>
            <w:vAlign w:val="center"/>
          </w:tcPr>
          <w:p w14:paraId="063FFDA6">
            <w:pPr>
              <w:spacing w:before="0" w:after="0" w:line="240" w:lineRule="exact"/>
              <w:jc w:val="right"/>
              <w:rPr>
                <w:rFonts w:ascii="宋体" w:hAnsi="宋体" w:eastAsia="宋体" w:cs="宋体"/>
                <w:color w:val="auto"/>
                <w:sz w:val="18"/>
                <w:szCs w:val="18"/>
              </w:rPr>
            </w:pPr>
          </w:p>
        </w:tc>
      </w:tr>
    </w:tbl>
    <w:p w14:paraId="5BA7951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支付的其他与筹资活动有关的现金说明：</w:t>
      </w:r>
    </w:p>
    <w:p w14:paraId="2D4A387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筹资活动产生的各项负债变动情况</w:t>
      </w:r>
    </w:p>
    <w:p w14:paraId="2C09BFD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169E2245">
      <w:pPr>
        <w:keepNext/>
        <w:keepLines/>
        <w:spacing w:before="300" w:after="300" w:line="280" w:lineRule="exact"/>
        <w:jc w:val="left"/>
        <w:outlineLvl w:val="3"/>
        <w:rPr>
          <w:rFonts w:ascii="宋体" w:hAnsi="宋体" w:eastAsia="宋体" w:cs="宋体"/>
          <w:b/>
          <w:bCs/>
          <w:color w:val="auto"/>
          <w:sz w:val="21"/>
          <w:szCs w:val="21"/>
        </w:rPr>
      </w:pPr>
      <w:bookmarkStart w:id="285" w:name="_Toc989261"/>
      <w:r>
        <w:rPr>
          <w:rFonts w:ascii="宋体" w:hAnsi="宋体" w:eastAsia="宋体" w:cs="宋体"/>
          <w:b/>
          <w:bCs/>
          <w:color w:val="auto"/>
          <w:sz w:val="21"/>
          <w:szCs w:val="21"/>
        </w:rPr>
        <w:t>（4）以净额列报现金流量的说明</w:t>
      </w:r>
      <w:bookmarkEnd w:id="285"/>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245C05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D32E5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3575F8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相关事实情况</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D6D3A6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采用净额列报的依据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263EBA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财务影响</w:t>
            </w:r>
          </w:p>
        </w:tc>
      </w:tr>
    </w:tbl>
    <w:p w14:paraId="72879389">
      <w:pPr>
        <w:keepNext/>
        <w:keepLines/>
        <w:spacing w:before="300" w:after="300" w:line="280" w:lineRule="exact"/>
        <w:jc w:val="left"/>
        <w:outlineLvl w:val="3"/>
        <w:rPr>
          <w:rFonts w:ascii="宋体" w:hAnsi="宋体" w:eastAsia="宋体" w:cs="宋体"/>
          <w:b/>
          <w:bCs/>
          <w:color w:val="auto"/>
          <w:sz w:val="21"/>
          <w:szCs w:val="21"/>
        </w:rPr>
      </w:pPr>
      <w:bookmarkStart w:id="286" w:name="_Toc989262"/>
      <w:r>
        <w:rPr>
          <w:rFonts w:ascii="宋体" w:hAnsi="宋体" w:eastAsia="宋体" w:cs="宋体"/>
          <w:b/>
          <w:bCs/>
          <w:color w:val="auto"/>
          <w:sz w:val="21"/>
          <w:szCs w:val="21"/>
        </w:rPr>
        <w:t>（5）不涉及当期现金收支、但影响企业财务状况或在未来可能影响企业现金流量的重大活动及财务影响</w:t>
      </w:r>
      <w:bookmarkEnd w:id="286"/>
    </w:p>
    <w:p w14:paraId="5A717857">
      <w:pPr>
        <w:keepNext/>
        <w:keepLines/>
        <w:spacing w:before="300" w:after="300" w:line="280" w:lineRule="exact"/>
        <w:jc w:val="left"/>
        <w:outlineLvl w:val="2"/>
        <w:rPr>
          <w:rFonts w:ascii="宋体" w:hAnsi="宋体" w:eastAsia="宋体" w:cs="宋体"/>
          <w:b/>
          <w:bCs/>
          <w:color w:val="auto"/>
          <w:sz w:val="21"/>
          <w:szCs w:val="21"/>
        </w:rPr>
      </w:pPr>
      <w:bookmarkStart w:id="287" w:name="_Toc989263"/>
      <w:r>
        <w:rPr>
          <w:rFonts w:ascii="宋体" w:hAnsi="宋体" w:eastAsia="宋体" w:cs="宋体"/>
          <w:b/>
          <w:bCs/>
          <w:color w:val="auto"/>
          <w:sz w:val="21"/>
          <w:szCs w:val="21"/>
        </w:rPr>
        <w:t>79、现金流量表补充资料</w:t>
      </w:r>
      <w:bookmarkEnd w:id="287"/>
    </w:p>
    <w:p w14:paraId="7662244D">
      <w:pPr>
        <w:keepNext/>
        <w:keepLines/>
        <w:spacing w:before="300" w:after="300" w:line="280" w:lineRule="exact"/>
        <w:jc w:val="left"/>
        <w:outlineLvl w:val="3"/>
        <w:rPr>
          <w:rFonts w:ascii="宋体" w:hAnsi="宋体" w:eastAsia="宋体" w:cs="宋体"/>
          <w:b/>
          <w:bCs/>
          <w:color w:val="auto"/>
          <w:sz w:val="21"/>
          <w:szCs w:val="21"/>
        </w:rPr>
      </w:pPr>
      <w:bookmarkStart w:id="288" w:name="_Toc989264"/>
      <w:r>
        <w:rPr>
          <w:rFonts w:ascii="宋体" w:hAnsi="宋体" w:eastAsia="宋体" w:cs="宋体"/>
          <w:b/>
          <w:bCs/>
          <w:color w:val="auto"/>
          <w:sz w:val="21"/>
          <w:szCs w:val="21"/>
        </w:rPr>
        <w:t>（1）现金流量表补充资料</w:t>
      </w:r>
      <w:bookmarkEnd w:id="288"/>
    </w:p>
    <w:p w14:paraId="18E6450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BFEBD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B1674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补充资料</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69C26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C0939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上期金额</w:t>
            </w:r>
          </w:p>
        </w:tc>
      </w:tr>
      <w:tr w14:paraId="477B2B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D7C84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1．将净利润调节为经营活动现金流量：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DEBEC2">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D9DC1A">
            <w:pPr>
              <w:rPr>
                <w:color w:val="auto"/>
              </w:rPr>
            </w:pPr>
          </w:p>
        </w:tc>
      </w:tr>
      <w:tr w14:paraId="349C98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D65546">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净利润</w:t>
            </w:r>
          </w:p>
        </w:tc>
        <w:tc>
          <w:tcPr>
            <w:tcW w:w="3213" w:type="dxa"/>
            <w:tcBorders>
              <w:top w:val="single" w:color="auto" w:sz="2" w:space="0"/>
              <w:left w:val="single" w:color="auto" w:sz="2" w:space="0"/>
              <w:bottom w:val="single" w:color="auto" w:sz="2" w:space="0"/>
              <w:right w:val="single" w:color="auto" w:sz="2" w:space="0"/>
            </w:tcBorders>
            <w:vAlign w:val="center"/>
          </w:tcPr>
          <w:p w14:paraId="57D9E0F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-70,407,273.85</w:t>
            </w:r>
          </w:p>
        </w:tc>
        <w:tc>
          <w:tcPr>
            <w:tcW w:w="3213" w:type="dxa"/>
            <w:tcBorders>
              <w:top w:val="single" w:color="auto" w:sz="2" w:space="0"/>
              <w:left w:val="single" w:color="auto" w:sz="2" w:space="0"/>
              <w:bottom w:val="single" w:color="auto" w:sz="2" w:space="0"/>
              <w:right w:val="single" w:color="auto" w:sz="2" w:space="0"/>
            </w:tcBorders>
            <w:vAlign w:val="center"/>
          </w:tcPr>
          <w:p w14:paraId="1B976C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-36,120,978.74</w:t>
            </w:r>
          </w:p>
        </w:tc>
      </w:tr>
      <w:tr w14:paraId="48BD5F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9B0CA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加：资产减值准备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65CC79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7,788,781.77</w:t>
            </w:r>
          </w:p>
        </w:tc>
        <w:tc>
          <w:tcPr>
            <w:tcW w:w="3213" w:type="dxa"/>
            <w:tcBorders>
              <w:top w:val="single" w:color="auto" w:sz="2" w:space="0"/>
              <w:left w:val="single" w:color="auto" w:sz="2" w:space="0"/>
              <w:bottom w:val="single" w:color="auto" w:sz="2" w:space="0"/>
              <w:right w:val="single" w:color="auto" w:sz="2" w:space="0"/>
            </w:tcBorders>
            <w:vAlign w:val="center"/>
          </w:tcPr>
          <w:p w14:paraId="1AEAFF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1,976,605.37</w:t>
            </w:r>
          </w:p>
        </w:tc>
      </w:tr>
      <w:tr w14:paraId="4193F6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4C4607">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固定资产折旧、油气资产折耗、生产性生物资产折旧</w:t>
            </w:r>
          </w:p>
        </w:tc>
        <w:tc>
          <w:tcPr>
            <w:tcW w:w="3213" w:type="dxa"/>
            <w:tcBorders>
              <w:top w:val="single" w:color="auto" w:sz="2" w:space="0"/>
              <w:left w:val="single" w:color="auto" w:sz="2" w:space="0"/>
              <w:bottom w:val="single" w:color="auto" w:sz="2" w:space="0"/>
              <w:right w:val="single" w:color="auto" w:sz="2" w:space="0"/>
            </w:tcBorders>
            <w:vAlign w:val="center"/>
          </w:tcPr>
          <w:p w14:paraId="7EA613F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25,176,498.19</w:t>
            </w:r>
          </w:p>
        </w:tc>
        <w:tc>
          <w:tcPr>
            <w:tcW w:w="3213" w:type="dxa"/>
            <w:tcBorders>
              <w:top w:val="single" w:color="auto" w:sz="2" w:space="0"/>
              <w:left w:val="single" w:color="auto" w:sz="2" w:space="0"/>
              <w:bottom w:val="single" w:color="auto" w:sz="2" w:space="0"/>
              <w:right w:val="single" w:color="auto" w:sz="2" w:space="0"/>
            </w:tcBorders>
            <w:vAlign w:val="center"/>
          </w:tcPr>
          <w:p w14:paraId="5BC1E9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26,058,982.19</w:t>
            </w:r>
          </w:p>
        </w:tc>
      </w:tr>
      <w:tr w14:paraId="1E9F20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847F65">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使用权资产折旧</w:t>
            </w:r>
          </w:p>
        </w:tc>
        <w:tc>
          <w:tcPr>
            <w:tcW w:w="3213" w:type="dxa"/>
            <w:tcBorders>
              <w:top w:val="single" w:color="auto" w:sz="2" w:space="0"/>
              <w:left w:val="single" w:color="auto" w:sz="2" w:space="0"/>
              <w:bottom w:val="single" w:color="auto" w:sz="2" w:space="0"/>
              <w:right w:val="single" w:color="auto" w:sz="2" w:space="0"/>
            </w:tcBorders>
            <w:vAlign w:val="center"/>
          </w:tcPr>
          <w:p w14:paraId="4B12D3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302,182.41</w:t>
            </w:r>
          </w:p>
        </w:tc>
        <w:tc>
          <w:tcPr>
            <w:tcW w:w="3213" w:type="dxa"/>
            <w:tcBorders>
              <w:top w:val="single" w:color="auto" w:sz="2" w:space="0"/>
              <w:left w:val="single" w:color="auto" w:sz="2" w:space="0"/>
              <w:bottom w:val="single" w:color="auto" w:sz="2" w:space="0"/>
              <w:right w:val="single" w:color="auto" w:sz="2" w:space="0"/>
            </w:tcBorders>
            <w:vAlign w:val="center"/>
          </w:tcPr>
          <w:p w14:paraId="35681D6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243,231.01</w:t>
            </w:r>
          </w:p>
        </w:tc>
      </w:tr>
      <w:tr w14:paraId="4C30A5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FE5AAD">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无形资产摊销</w:t>
            </w:r>
          </w:p>
        </w:tc>
        <w:tc>
          <w:tcPr>
            <w:tcW w:w="3213" w:type="dxa"/>
            <w:tcBorders>
              <w:top w:val="single" w:color="auto" w:sz="2" w:space="0"/>
              <w:left w:val="single" w:color="auto" w:sz="2" w:space="0"/>
              <w:bottom w:val="single" w:color="auto" w:sz="2" w:space="0"/>
              <w:right w:val="single" w:color="auto" w:sz="2" w:space="0"/>
            </w:tcBorders>
            <w:vAlign w:val="center"/>
          </w:tcPr>
          <w:p w14:paraId="6C16A4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21,451,564.89</w:t>
            </w:r>
          </w:p>
        </w:tc>
        <w:tc>
          <w:tcPr>
            <w:tcW w:w="3213" w:type="dxa"/>
            <w:tcBorders>
              <w:top w:val="single" w:color="auto" w:sz="2" w:space="0"/>
              <w:left w:val="single" w:color="auto" w:sz="2" w:space="0"/>
              <w:bottom w:val="single" w:color="auto" w:sz="2" w:space="0"/>
              <w:right w:val="single" w:color="auto" w:sz="2" w:space="0"/>
            </w:tcBorders>
            <w:vAlign w:val="center"/>
          </w:tcPr>
          <w:p w14:paraId="69E8EAE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21,415,869.35</w:t>
            </w:r>
          </w:p>
        </w:tc>
      </w:tr>
      <w:tr w14:paraId="06FD91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75BFE8">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长期待摊费用摊销</w:t>
            </w:r>
          </w:p>
        </w:tc>
        <w:tc>
          <w:tcPr>
            <w:tcW w:w="3213" w:type="dxa"/>
            <w:tcBorders>
              <w:top w:val="single" w:color="auto" w:sz="2" w:space="0"/>
              <w:left w:val="single" w:color="auto" w:sz="2" w:space="0"/>
              <w:bottom w:val="single" w:color="auto" w:sz="2" w:space="0"/>
              <w:right w:val="single" w:color="auto" w:sz="2" w:space="0"/>
            </w:tcBorders>
            <w:vAlign w:val="center"/>
          </w:tcPr>
          <w:p w14:paraId="55239B2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2,859,807.65</w:t>
            </w:r>
          </w:p>
        </w:tc>
        <w:tc>
          <w:tcPr>
            <w:tcW w:w="3213" w:type="dxa"/>
            <w:tcBorders>
              <w:top w:val="single" w:color="auto" w:sz="2" w:space="0"/>
              <w:left w:val="single" w:color="auto" w:sz="2" w:space="0"/>
              <w:bottom w:val="single" w:color="auto" w:sz="2" w:space="0"/>
              <w:right w:val="single" w:color="auto" w:sz="2" w:space="0"/>
            </w:tcBorders>
            <w:vAlign w:val="center"/>
          </w:tcPr>
          <w:p w14:paraId="2ED5D1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2,958,053.45</w:t>
            </w:r>
          </w:p>
        </w:tc>
      </w:tr>
      <w:tr w14:paraId="69CA2A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C738DC">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处置固定资产、无形资产和其他长期资产的损失（收益以“－”号填列）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692A2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3213" w:type="dxa"/>
            <w:tcBorders>
              <w:top w:val="single" w:color="auto" w:sz="2" w:space="0"/>
              <w:left w:val="single" w:color="auto" w:sz="2" w:space="0"/>
              <w:bottom w:val="single" w:color="auto" w:sz="2" w:space="0"/>
              <w:right w:val="single" w:color="auto" w:sz="2" w:space="0"/>
            </w:tcBorders>
            <w:vAlign w:val="center"/>
          </w:tcPr>
          <w:p w14:paraId="5811555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55E316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B0C8CE">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固定资产报废损失（收益以“－”号填列）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0C518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343,296.98</w:t>
            </w:r>
          </w:p>
        </w:tc>
        <w:tc>
          <w:tcPr>
            <w:tcW w:w="3213" w:type="dxa"/>
            <w:tcBorders>
              <w:top w:val="single" w:color="auto" w:sz="2" w:space="0"/>
              <w:left w:val="single" w:color="auto" w:sz="2" w:space="0"/>
              <w:bottom w:val="single" w:color="auto" w:sz="2" w:space="0"/>
              <w:right w:val="single" w:color="auto" w:sz="2" w:space="0"/>
            </w:tcBorders>
            <w:vAlign w:val="center"/>
          </w:tcPr>
          <w:p w14:paraId="3536D12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27,310.78</w:t>
            </w:r>
          </w:p>
        </w:tc>
      </w:tr>
      <w:tr w14:paraId="106FA9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4060BB">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公允价值变动损失（收益以“－”号填列）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B6D99F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535B886">
            <w:pPr>
              <w:spacing w:before="0" w:after="0" w:line="240" w:lineRule="exact"/>
              <w:jc w:val="right"/>
              <w:rPr>
                <w:rFonts w:ascii="宋体" w:hAnsi="宋体" w:eastAsia="宋体" w:cs="宋体"/>
                <w:color w:val="auto"/>
                <w:sz w:val="18"/>
                <w:szCs w:val="18"/>
              </w:rPr>
            </w:pPr>
          </w:p>
        </w:tc>
      </w:tr>
      <w:tr w14:paraId="03382A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61F8C9">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财务费用（收益以“－”号填列）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169C0D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16,665,439.88</w:t>
            </w:r>
          </w:p>
        </w:tc>
        <w:tc>
          <w:tcPr>
            <w:tcW w:w="3213" w:type="dxa"/>
            <w:tcBorders>
              <w:top w:val="single" w:color="auto" w:sz="2" w:space="0"/>
              <w:left w:val="single" w:color="auto" w:sz="2" w:space="0"/>
              <w:bottom w:val="single" w:color="auto" w:sz="2" w:space="0"/>
              <w:right w:val="single" w:color="auto" w:sz="2" w:space="0"/>
            </w:tcBorders>
            <w:vAlign w:val="center"/>
          </w:tcPr>
          <w:p w14:paraId="610A978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17,892,956.94</w:t>
            </w:r>
          </w:p>
        </w:tc>
      </w:tr>
      <w:tr w14:paraId="3882E9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0D3761">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投资损失（收益以“－”号填列）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D42249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3213" w:type="dxa"/>
            <w:tcBorders>
              <w:top w:val="single" w:color="auto" w:sz="2" w:space="0"/>
              <w:left w:val="single" w:color="auto" w:sz="2" w:space="0"/>
              <w:bottom w:val="single" w:color="auto" w:sz="2" w:space="0"/>
              <w:right w:val="single" w:color="auto" w:sz="2" w:space="0"/>
            </w:tcBorders>
            <w:vAlign w:val="center"/>
          </w:tcPr>
          <w:p w14:paraId="2BDCED5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2,019,561.20</w:t>
            </w:r>
          </w:p>
        </w:tc>
      </w:tr>
      <w:tr w14:paraId="34043A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F81A70">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递延所得税资产减少（增加以“－”号填列）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23DF2C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108,787.70</w:t>
            </w:r>
          </w:p>
        </w:tc>
        <w:tc>
          <w:tcPr>
            <w:tcW w:w="3213" w:type="dxa"/>
            <w:tcBorders>
              <w:top w:val="single" w:color="auto" w:sz="2" w:space="0"/>
              <w:left w:val="single" w:color="auto" w:sz="2" w:space="0"/>
              <w:bottom w:val="single" w:color="auto" w:sz="2" w:space="0"/>
              <w:right w:val="single" w:color="auto" w:sz="2" w:space="0"/>
            </w:tcBorders>
            <w:vAlign w:val="center"/>
          </w:tcPr>
          <w:p w14:paraId="08DD59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-1,217,030.24</w:t>
            </w:r>
          </w:p>
        </w:tc>
      </w:tr>
      <w:tr w14:paraId="63D48D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034BA0">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递延所得税负债增加（减少以“－”号填列）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D82A35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-162,754.75</w:t>
            </w:r>
          </w:p>
        </w:tc>
        <w:tc>
          <w:tcPr>
            <w:tcW w:w="3213" w:type="dxa"/>
            <w:tcBorders>
              <w:top w:val="single" w:color="auto" w:sz="2" w:space="0"/>
              <w:left w:val="single" w:color="auto" w:sz="2" w:space="0"/>
              <w:bottom w:val="single" w:color="auto" w:sz="2" w:space="0"/>
              <w:right w:val="single" w:color="auto" w:sz="2" w:space="0"/>
            </w:tcBorders>
            <w:vAlign w:val="center"/>
          </w:tcPr>
          <w:p w14:paraId="0D282F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55,534.43</w:t>
            </w:r>
          </w:p>
        </w:tc>
      </w:tr>
      <w:tr w14:paraId="5DFD76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79664E">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存货的减少（增加以“－”号填列）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9743E4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-32,625,076.34</w:t>
            </w:r>
          </w:p>
        </w:tc>
        <w:tc>
          <w:tcPr>
            <w:tcW w:w="3213" w:type="dxa"/>
            <w:tcBorders>
              <w:top w:val="single" w:color="auto" w:sz="2" w:space="0"/>
              <w:left w:val="single" w:color="auto" w:sz="2" w:space="0"/>
              <w:bottom w:val="single" w:color="auto" w:sz="2" w:space="0"/>
              <w:right w:val="single" w:color="auto" w:sz="2" w:space="0"/>
            </w:tcBorders>
            <w:vAlign w:val="center"/>
          </w:tcPr>
          <w:p w14:paraId="0BDE1F8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814,018.48</w:t>
            </w:r>
          </w:p>
        </w:tc>
      </w:tr>
      <w:tr w14:paraId="038F2D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58DBEA">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经营性应收项目的减少（增加以“－”号填列）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15CE4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2,312,247.78</w:t>
            </w:r>
          </w:p>
        </w:tc>
        <w:tc>
          <w:tcPr>
            <w:tcW w:w="3213" w:type="dxa"/>
            <w:tcBorders>
              <w:top w:val="single" w:color="auto" w:sz="2" w:space="0"/>
              <w:left w:val="single" w:color="auto" w:sz="2" w:space="0"/>
              <w:bottom w:val="single" w:color="auto" w:sz="2" w:space="0"/>
              <w:right w:val="single" w:color="auto" w:sz="2" w:space="0"/>
            </w:tcBorders>
            <w:vAlign w:val="center"/>
          </w:tcPr>
          <w:p w14:paraId="77E6D64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-25,423,192.16</w:t>
            </w:r>
          </w:p>
        </w:tc>
      </w:tr>
      <w:tr w14:paraId="6DAC55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775125">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经营性应付项目的增加（减少以“－”号填列）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978E4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7,786,439.92</w:t>
            </w:r>
          </w:p>
        </w:tc>
        <w:tc>
          <w:tcPr>
            <w:tcW w:w="3213" w:type="dxa"/>
            <w:tcBorders>
              <w:top w:val="single" w:color="auto" w:sz="2" w:space="0"/>
              <w:left w:val="single" w:color="auto" w:sz="2" w:space="0"/>
              <w:bottom w:val="single" w:color="auto" w:sz="2" w:space="0"/>
              <w:right w:val="single" w:color="auto" w:sz="2" w:space="0"/>
            </w:tcBorders>
            <w:vAlign w:val="center"/>
          </w:tcPr>
          <w:p w14:paraId="618C0F4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-46,531,310.95</w:t>
            </w:r>
          </w:p>
        </w:tc>
      </w:tr>
      <w:tr w14:paraId="67ED0B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038E07">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084B8DB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-1,364,048.59</w:t>
            </w:r>
          </w:p>
        </w:tc>
        <w:tc>
          <w:tcPr>
            <w:tcW w:w="3213" w:type="dxa"/>
            <w:tcBorders>
              <w:top w:val="single" w:color="auto" w:sz="2" w:space="0"/>
              <w:left w:val="single" w:color="auto" w:sz="2" w:space="0"/>
              <w:bottom w:val="single" w:color="auto" w:sz="2" w:space="0"/>
              <w:right w:val="single" w:color="auto" w:sz="2" w:space="0"/>
            </w:tcBorders>
            <w:vAlign w:val="center"/>
          </w:tcPr>
          <w:p w14:paraId="2DD61D9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13,362,441.80</w:t>
            </w:r>
          </w:p>
        </w:tc>
      </w:tr>
      <w:tr w14:paraId="04BE58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A64704">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327EF6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-19,374,376.86</w:t>
            </w:r>
          </w:p>
        </w:tc>
        <w:tc>
          <w:tcPr>
            <w:tcW w:w="3213" w:type="dxa"/>
            <w:tcBorders>
              <w:top w:val="single" w:color="auto" w:sz="2" w:space="0"/>
              <w:left w:val="single" w:color="auto" w:sz="2" w:space="0"/>
              <w:bottom w:val="single" w:color="auto" w:sz="2" w:space="0"/>
              <w:right w:val="single" w:color="auto" w:sz="2" w:space="0"/>
            </w:tcBorders>
            <w:vAlign w:val="center"/>
          </w:tcPr>
          <w:p w14:paraId="211963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-22,467,947.09</w:t>
            </w:r>
          </w:p>
        </w:tc>
      </w:tr>
      <w:tr w14:paraId="5DD19F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6910C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2．不涉及现金收支的重大投资和筹资活动：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6221A5">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15B5C6">
            <w:pPr>
              <w:rPr>
                <w:color w:val="auto"/>
              </w:rPr>
            </w:pPr>
          </w:p>
        </w:tc>
      </w:tr>
      <w:tr w14:paraId="4015CB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B10071">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债务转为资本</w:t>
            </w:r>
          </w:p>
        </w:tc>
        <w:tc>
          <w:tcPr>
            <w:tcW w:w="3213" w:type="dxa"/>
            <w:tcBorders>
              <w:top w:val="single" w:color="auto" w:sz="2" w:space="0"/>
              <w:left w:val="single" w:color="auto" w:sz="2" w:space="0"/>
              <w:bottom w:val="single" w:color="auto" w:sz="2" w:space="0"/>
              <w:right w:val="single" w:color="auto" w:sz="2" w:space="0"/>
            </w:tcBorders>
            <w:vAlign w:val="center"/>
          </w:tcPr>
          <w:p w14:paraId="59E7C52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EE5166">
            <w:pPr>
              <w:spacing w:before="0" w:after="0" w:line="240" w:lineRule="exact"/>
              <w:jc w:val="right"/>
              <w:rPr>
                <w:rFonts w:ascii="宋体" w:hAnsi="宋体" w:eastAsia="宋体" w:cs="宋体"/>
                <w:color w:val="auto"/>
                <w:sz w:val="18"/>
                <w:szCs w:val="18"/>
              </w:rPr>
            </w:pPr>
          </w:p>
        </w:tc>
      </w:tr>
      <w:tr w14:paraId="5E2019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6DC2C4">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一年内到期的可转换公司债券</w:t>
            </w:r>
          </w:p>
        </w:tc>
        <w:tc>
          <w:tcPr>
            <w:tcW w:w="3213" w:type="dxa"/>
            <w:tcBorders>
              <w:top w:val="single" w:color="auto" w:sz="2" w:space="0"/>
              <w:left w:val="single" w:color="auto" w:sz="2" w:space="0"/>
              <w:bottom w:val="single" w:color="auto" w:sz="2" w:space="0"/>
              <w:right w:val="single" w:color="auto" w:sz="2" w:space="0"/>
            </w:tcBorders>
            <w:vAlign w:val="center"/>
          </w:tcPr>
          <w:p w14:paraId="0D2D5AF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B36D3A3">
            <w:pPr>
              <w:spacing w:before="0" w:after="0" w:line="240" w:lineRule="exact"/>
              <w:jc w:val="right"/>
              <w:rPr>
                <w:rFonts w:ascii="宋体" w:hAnsi="宋体" w:eastAsia="宋体" w:cs="宋体"/>
                <w:color w:val="auto"/>
                <w:sz w:val="18"/>
                <w:szCs w:val="18"/>
              </w:rPr>
            </w:pPr>
          </w:p>
        </w:tc>
      </w:tr>
      <w:tr w14:paraId="225E13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185943">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融资租入固定资产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7C996D8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99A75E5">
            <w:pPr>
              <w:spacing w:before="0" w:after="0" w:line="240" w:lineRule="exact"/>
              <w:jc w:val="right"/>
              <w:rPr>
                <w:rFonts w:ascii="宋体" w:hAnsi="宋体" w:eastAsia="宋体" w:cs="宋体"/>
                <w:color w:val="auto"/>
                <w:sz w:val="18"/>
                <w:szCs w:val="18"/>
              </w:rPr>
            </w:pPr>
          </w:p>
        </w:tc>
      </w:tr>
      <w:tr w14:paraId="14292C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76DD9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3．现金及现金等价物净变动情况：</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D6E09D">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462257">
            <w:pPr>
              <w:rPr>
                <w:color w:val="auto"/>
              </w:rPr>
            </w:pPr>
          </w:p>
        </w:tc>
      </w:tr>
      <w:tr w14:paraId="3510A6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BCE27E">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现金的期末余额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5BDE953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78,896,350.54</w:t>
            </w:r>
          </w:p>
        </w:tc>
        <w:tc>
          <w:tcPr>
            <w:tcW w:w="3213" w:type="dxa"/>
            <w:tcBorders>
              <w:top w:val="single" w:color="auto" w:sz="2" w:space="0"/>
              <w:left w:val="single" w:color="auto" w:sz="2" w:space="0"/>
              <w:bottom w:val="single" w:color="auto" w:sz="2" w:space="0"/>
              <w:right w:val="single" w:color="auto" w:sz="2" w:space="0"/>
            </w:tcBorders>
            <w:vAlign w:val="center"/>
          </w:tcPr>
          <w:p w14:paraId="47D9C62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130,539,528.38</w:t>
            </w:r>
          </w:p>
        </w:tc>
      </w:tr>
      <w:tr w14:paraId="1C287F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655B4B">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减：现金的期初余额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40F78A4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142,958,457.81</w:t>
            </w:r>
          </w:p>
        </w:tc>
        <w:tc>
          <w:tcPr>
            <w:tcW w:w="3213" w:type="dxa"/>
            <w:tcBorders>
              <w:top w:val="single" w:color="auto" w:sz="2" w:space="0"/>
              <w:left w:val="single" w:color="auto" w:sz="2" w:space="0"/>
              <w:bottom w:val="single" w:color="auto" w:sz="2" w:space="0"/>
              <w:right w:val="single" w:color="auto" w:sz="2" w:space="0"/>
            </w:tcBorders>
            <w:vAlign w:val="center"/>
          </w:tcPr>
          <w:p w14:paraId="408FD7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202,519,959.54</w:t>
            </w:r>
          </w:p>
        </w:tc>
      </w:tr>
      <w:tr w14:paraId="532FD8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DAE756">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加：现金等价物的期末余额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4E44255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B59621E">
            <w:pPr>
              <w:spacing w:before="0" w:after="0" w:line="240" w:lineRule="exact"/>
              <w:jc w:val="right"/>
              <w:rPr>
                <w:rFonts w:ascii="宋体" w:hAnsi="宋体" w:eastAsia="宋体" w:cs="宋体"/>
                <w:color w:val="auto"/>
                <w:sz w:val="18"/>
                <w:szCs w:val="18"/>
              </w:rPr>
            </w:pPr>
          </w:p>
        </w:tc>
      </w:tr>
      <w:tr w14:paraId="669AA3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D3695A">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减：现金等价物的期初余额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27E0D2B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1342B8">
            <w:pPr>
              <w:spacing w:before="0" w:after="0" w:line="240" w:lineRule="exact"/>
              <w:jc w:val="right"/>
              <w:rPr>
                <w:rFonts w:ascii="宋体" w:hAnsi="宋体" w:eastAsia="宋体" w:cs="宋体"/>
                <w:color w:val="auto"/>
                <w:sz w:val="18"/>
                <w:szCs w:val="18"/>
              </w:rPr>
            </w:pPr>
          </w:p>
        </w:tc>
      </w:tr>
      <w:tr w14:paraId="07DF1E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1F9B5D">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74AA31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-64,062,107.27</w:t>
            </w:r>
          </w:p>
        </w:tc>
        <w:tc>
          <w:tcPr>
            <w:tcW w:w="3213" w:type="dxa"/>
            <w:tcBorders>
              <w:top w:val="single" w:color="auto" w:sz="2" w:space="0"/>
              <w:left w:val="single" w:color="auto" w:sz="2" w:space="0"/>
              <w:bottom w:val="single" w:color="auto" w:sz="2" w:space="0"/>
              <w:right w:val="single" w:color="auto" w:sz="2" w:space="0"/>
            </w:tcBorders>
            <w:vAlign w:val="center"/>
          </w:tcPr>
          <w:p w14:paraId="360A326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-71,980,431.16</w:t>
            </w:r>
          </w:p>
        </w:tc>
      </w:tr>
    </w:tbl>
    <w:p w14:paraId="08829CE6">
      <w:pPr>
        <w:keepNext/>
        <w:keepLines/>
        <w:spacing w:before="300" w:after="300" w:line="280" w:lineRule="exact"/>
        <w:jc w:val="left"/>
        <w:outlineLvl w:val="3"/>
        <w:rPr>
          <w:rFonts w:ascii="宋体" w:hAnsi="宋体" w:eastAsia="宋体" w:cs="宋体"/>
          <w:b/>
          <w:bCs/>
          <w:color w:val="auto"/>
          <w:sz w:val="21"/>
          <w:szCs w:val="21"/>
        </w:rPr>
      </w:pPr>
      <w:bookmarkStart w:id="289" w:name="_Toc989265"/>
      <w:r>
        <w:rPr>
          <w:rFonts w:ascii="宋体" w:hAnsi="宋体" w:eastAsia="宋体" w:cs="宋体"/>
          <w:b/>
          <w:bCs/>
          <w:color w:val="auto"/>
          <w:sz w:val="21"/>
          <w:szCs w:val="21"/>
        </w:rPr>
        <w:t>（2）本期支付的取得子公司的现金净额</w:t>
      </w:r>
      <w:bookmarkEnd w:id="289"/>
    </w:p>
    <w:p w14:paraId="378C1C2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62F630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7D3B877">
            <w:pPr>
              <w:rPr>
                <w:color w:val="auto"/>
              </w:rPr>
            </w:pP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413DF3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r>
      <w:tr w14:paraId="0F399B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1CB741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F850F6B">
            <w:pPr>
              <w:rPr>
                <w:color w:val="auto"/>
              </w:rPr>
            </w:pPr>
          </w:p>
        </w:tc>
      </w:tr>
      <w:tr w14:paraId="632559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2868A5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138E9DB">
            <w:pPr>
              <w:rPr>
                <w:color w:val="auto"/>
              </w:rPr>
            </w:pPr>
          </w:p>
        </w:tc>
      </w:tr>
      <w:tr w14:paraId="204B82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049697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BA85BF8">
            <w:pPr>
              <w:rPr>
                <w:color w:val="auto"/>
              </w:rPr>
            </w:pPr>
          </w:p>
        </w:tc>
      </w:tr>
    </w:tbl>
    <w:p w14:paraId="74CFD05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6C33C6E">
      <w:pPr>
        <w:keepNext/>
        <w:keepLines/>
        <w:spacing w:before="300" w:after="300" w:line="280" w:lineRule="exact"/>
        <w:jc w:val="left"/>
        <w:outlineLvl w:val="3"/>
        <w:rPr>
          <w:rFonts w:ascii="宋体" w:hAnsi="宋体" w:eastAsia="宋体" w:cs="宋体"/>
          <w:b/>
          <w:bCs/>
          <w:color w:val="auto"/>
          <w:sz w:val="21"/>
          <w:szCs w:val="21"/>
        </w:rPr>
      </w:pPr>
      <w:bookmarkStart w:id="290" w:name="_Toc989266"/>
      <w:r>
        <w:rPr>
          <w:rFonts w:ascii="宋体" w:hAnsi="宋体" w:eastAsia="宋体" w:cs="宋体"/>
          <w:b/>
          <w:bCs/>
          <w:color w:val="auto"/>
          <w:sz w:val="21"/>
          <w:szCs w:val="21"/>
        </w:rPr>
        <w:t>（3）本期收到的处置子公司的现金净额</w:t>
      </w:r>
      <w:bookmarkEnd w:id="290"/>
    </w:p>
    <w:p w14:paraId="4F5E9F5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54321C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723D332">
            <w:pPr>
              <w:rPr>
                <w:color w:val="auto"/>
              </w:rPr>
            </w:pP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A5CC9B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r>
      <w:tr w14:paraId="2C8C0B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749633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B3AD951">
            <w:pPr>
              <w:rPr>
                <w:color w:val="auto"/>
              </w:rPr>
            </w:pPr>
          </w:p>
        </w:tc>
      </w:tr>
      <w:tr w14:paraId="7CF136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A80454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A656B05">
            <w:pPr>
              <w:rPr>
                <w:color w:val="auto"/>
              </w:rPr>
            </w:pPr>
          </w:p>
        </w:tc>
      </w:tr>
      <w:tr w14:paraId="6FF6C8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AB93F4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9839DC2">
            <w:pPr>
              <w:rPr>
                <w:color w:val="auto"/>
              </w:rPr>
            </w:pPr>
          </w:p>
        </w:tc>
      </w:tr>
    </w:tbl>
    <w:p w14:paraId="724BB50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2DD5070">
      <w:pPr>
        <w:keepNext/>
        <w:keepLines/>
        <w:spacing w:before="300" w:after="300" w:line="280" w:lineRule="exact"/>
        <w:jc w:val="left"/>
        <w:outlineLvl w:val="3"/>
        <w:rPr>
          <w:rFonts w:ascii="宋体" w:hAnsi="宋体" w:eastAsia="宋体" w:cs="宋体"/>
          <w:b/>
          <w:bCs/>
          <w:color w:val="auto"/>
          <w:sz w:val="21"/>
          <w:szCs w:val="21"/>
        </w:rPr>
      </w:pPr>
      <w:bookmarkStart w:id="291" w:name="_Toc989267"/>
      <w:r>
        <w:rPr>
          <w:rFonts w:ascii="宋体" w:hAnsi="宋体" w:eastAsia="宋体" w:cs="宋体"/>
          <w:b/>
          <w:bCs/>
          <w:color w:val="auto"/>
          <w:sz w:val="21"/>
          <w:szCs w:val="21"/>
        </w:rPr>
        <w:t>（4）现金和现金等价物的构成</w:t>
      </w:r>
      <w:bookmarkEnd w:id="291"/>
    </w:p>
    <w:p w14:paraId="4D81897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86E8D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C0A1B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FCE92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F002A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17BF62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06B10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一、现金</w:t>
            </w:r>
          </w:p>
        </w:tc>
        <w:tc>
          <w:tcPr>
            <w:tcW w:w="3213" w:type="dxa"/>
            <w:tcBorders>
              <w:top w:val="single" w:color="auto" w:sz="2" w:space="0"/>
              <w:left w:val="single" w:color="auto" w:sz="2" w:space="0"/>
              <w:bottom w:val="single" w:color="auto" w:sz="2" w:space="0"/>
              <w:right w:val="single" w:color="auto" w:sz="2" w:space="0"/>
            </w:tcBorders>
            <w:vAlign w:val="center"/>
          </w:tcPr>
          <w:p w14:paraId="62A6D4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78,896,350.54</w:t>
            </w:r>
          </w:p>
        </w:tc>
        <w:tc>
          <w:tcPr>
            <w:tcW w:w="3213" w:type="dxa"/>
            <w:tcBorders>
              <w:top w:val="single" w:color="auto" w:sz="2" w:space="0"/>
              <w:left w:val="single" w:color="auto" w:sz="2" w:space="0"/>
              <w:bottom w:val="single" w:color="auto" w:sz="2" w:space="0"/>
              <w:right w:val="single" w:color="auto" w:sz="2" w:space="0"/>
            </w:tcBorders>
            <w:vAlign w:val="center"/>
          </w:tcPr>
          <w:p w14:paraId="552079A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142,958,457.81</w:t>
            </w:r>
          </w:p>
        </w:tc>
      </w:tr>
      <w:tr w14:paraId="70F259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0E6129">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可随时用于支付的银行存款</w:t>
            </w:r>
          </w:p>
        </w:tc>
        <w:tc>
          <w:tcPr>
            <w:tcW w:w="3213" w:type="dxa"/>
            <w:tcBorders>
              <w:top w:val="single" w:color="auto" w:sz="2" w:space="0"/>
              <w:left w:val="single" w:color="auto" w:sz="2" w:space="0"/>
              <w:bottom w:val="single" w:color="auto" w:sz="2" w:space="0"/>
              <w:right w:val="single" w:color="auto" w:sz="2" w:space="0"/>
            </w:tcBorders>
            <w:vAlign w:val="center"/>
          </w:tcPr>
          <w:p w14:paraId="3EE65FE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78,896,350.54</w:t>
            </w:r>
          </w:p>
        </w:tc>
        <w:tc>
          <w:tcPr>
            <w:tcW w:w="3213" w:type="dxa"/>
            <w:tcBorders>
              <w:top w:val="single" w:color="auto" w:sz="2" w:space="0"/>
              <w:left w:val="single" w:color="auto" w:sz="2" w:space="0"/>
              <w:bottom w:val="single" w:color="auto" w:sz="2" w:space="0"/>
              <w:right w:val="single" w:color="auto" w:sz="2" w:space="0"/>
            </w:tcBorders>
            <w:vAlign w:val="center"/>
          </w:tcPr>
          <w:p w14:paraId="5CAC891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142,958,457.81</w:t>
            </w:r>
          </w:p>
        </w:tc>
      </w:tr>
      <w:tr w14:paraId="0D3A49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41432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三、期末现金及现金等价物余额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2DC6DB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78,896,350.54</w:t>
            </w:r>
          </w:p>
        </w:tc>
        <w:tc>
          <w:tcPr>
            <w:tcW w:w="3213" w:type="dxa"/>
            <w:tcBorders>
              <w:top w:val="single" w:color="auto" w:sz="2" w:space="0"/>
              <w:left w:val="single" w:color="auto" w:sz="2" w:space="0"/>
              <w:bottom w:val="single" w:color="auto" w:sz="2" w:space="0"/>
              <w:right w:val="single" w:color="auto" w:sz="2" w:space="0"/>
            </w:tcBorders>
            <w:vAlign w:val="center"/>
          </w:tcPr>
          <w:p w14:paraId="641F85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142,958,457.81</w:t>
            </w:r>
          </w:p>
        </w:tc>
      </w:tr>
    </w:tbl>
    <w:p w14:paraId="78EDD189">
      <w:pPr>
        <w:keepNext/>
        <w:keepLines/>
        <w:spacing w:before="300" w:after="300" w:line="280" w:lineRule="exact"/>
        <w:jc w:val="left"/>
        <w:outlineLvl w:val="3"/>
        <w:rPr>
          <w:rFonts w:ascii="宋体" w:hAnsi="宋体" w:eastAsia="宋体" w:cs="宋体"/>
          <w:b/>
          <w:bCs/>
          <w:color w:val="auto"/>
          <w:sz w:val="21"/>
          <w:szCs w:val="21"/>
        </w:rPr>
      </w:pPr>
      <w:bookmarkStart w:id="292" w:name="_Toc989268"/>
      <w:r>
        <w:rPr>
          <w:rFonts w:ascii="宋体" w:hAnsi="宋体" w:eastAsia="宋体" w:cs="宋体"/>
          <w:b/>
          <w:bCs/>
          <w:color w:val="auto"/>
          <w:sz w:val="21"/>
          <w:szCs w:val="21"/>
        </w:rPr>
        <w:t>（5）使用范围受限但仍属于现金及现金等价物列示的情况</w:t>
      </w:r>
      <w:bookmarkEnd w:id="292"/>
    </w:p>
    <w:p w14:paraId="46DB3BB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FC0DC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DF9C81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DD443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0113C7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1F988B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仍属于现金及现金等价物的理由</w:t>
            </w:r>
          </w:p>
        </w:tc>
      </w:tr>
    </w:tbl>
    <w:p w14:paraId="6037B9DF">
      <w:pPr>
        <w:keepNext/>
        <w:keepLines/>
        <w:spacing w:before="300" w:after="300" w:line="280" w:lineRule="exact"/>
        <w:jc w:val="left"/>
        <w:outlineLvl w:val="3"/>
        <w:rPr>
          <w:rFonts w:ascii="宋体" w:hAnsi="宋体" w:eastAsia="宋体" w:cs="宋体"/>
          <w:b/>
          <w:bCs/>
          <w:color w:val="auto"/>
          <w:sz w:val="21"/>
          <w:szCs w:val="21"/>
        </w:rPr>
      </w:pPr>
      <w:bookmarkStart w:id="293" w:name="_Toc989269"/>
      <w:r>
        <w:rPr>
          <w:rFonts w:ascii="宋体" w:hAnsi="宋体" w:eastAsia="宋体" w:cs="宋体"/>
          <w:b/>
          <w:bCs/>
          <w:color w:val="auto"/>
          <w:sz w:val="21"/>
          <w:szCs w:val="21"/>
        </w:rPr>
        <w:t>（6）不属于现金及现金等价物的货币资金</w:t>
      </w:r>
      <w:bookmarkEnd w:id="293"/>
    </w:p>
    <w:p w14:paraId="775024E0">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D6301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50AD0D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29D49C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2F80EE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8EFDE5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不属于现金及现金等价物的理由</w:t>
            </w:r>
          </w:p>
        </w:tc>
      </w:tr>
    </w:tbl>
    <w:p w14:paraId="435F88F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176BE89">
      <w:pPr>
        <w:keepNext/>
        <w:keepLines/>
        <w:spacing w:before="300" w:after="300" w:line="280" w:lineRule="exact"/>
        <w:jc w:val="left"/>
        <w:outlineLvl w:val="3"/>
        <w:rPr>
          <w:rFonts w:ascii="宋体" w:hAnsi="宋体" w:eastAsia="宋体" w:cs="宋体"/>
          <w:b/>
          <w:bCs/>
          <w:color w:val="auto"/>
          <w:sz w:val="21"/>
          <w:szCs w:val="21"/>
        </w:rPr>
      </w:pPr>
      <w:bookmarkStart w:id="294" w:name="_Toc989270"/>
      <w:r>
        <w:rPr>
          <w:rFonts w:ascii="宋体" w:hAnsi="宋体" w:eastAsia="宋体" w:cs="宋体"/>
          <w:b/>
          <w:bCs/>
          <w:color w:val="auto"/>
          <w:sz w:val="21"/>
          <w:szCs w:val="21"/>
        </w:rPr>
        <w:t>（7）其他重大活动说明</w:t>
      </w:r>
      <w:bookmarkEnd w:id="294"/>
    </w:p>
    <w:p w14:paraId="57BC30A2">
      <w:pPr>
        <w:keepNext/>
        <w:keepLines/>
        <w:spacing w:before="300" w:after="300" w:line="280" w:lineRule="exact"/>
        <w:jc w:val="left"/>
        <w:outlineLvl w:val="2"/>
        <w:rPr>
          <w:rFonts w:ascii="宋体" w:hAnsi="宋体" w:eastAsia="宋体" w:cs="宋体"/>
          <w:b/>
          <w:bCs/>
          <w:color w:val="auto"/>
          <w:sz w:val="21"/>
          <w:szCs w:val="21"/>
        </w:rPr>
      </w:pPr>
      <w:bookmarkStart w:id="295" w:name="_Toc989271"/>
      <w:r>
        <w:rPr>
          <w:rFonts w:ascii="宋体" w:hAnsi="宋体" w:eastAsia="宋体" w:cs="宋体"/>
          <w:b/>
          <w:bCs/>
          <w:color w:val="auto"/>
          <w:sz w:val="21"/>
          <w:szCs w:val="21"/>
        </w:rPr>
        <w:t>80、所有者权益变动表项目注释</w:t>
      </w:r>
      <w:bookmarkEnd w:id="295"/>
    </w:p>
    <w:p w14:paraId="5E43743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说明对上年年末余额进行调整的“其他”项目名称及调整金额等事项：</w:t>
      </w:r>
    </w:p>
    <w:p w14:paraId="672B74B2">
      <w:pPr>
        <w:keepNext/>
        <w:keepLines/>
        <w:spacing w:before="300" w:after="300" w:line="280" w:lineRule="exact"/>
        <w:jc w:val="left"/>
        <w:outlineLvl w:val="2"/>
        <w:rPr>
          <w:rFonts w:ascii="宋体" w:hAnsi="宋体" w:eastAsia="宋体" w:cs="宋体"/>
          <w:b/>
          <w:bCs/>
          <w:color w:val="auto"/>
          <w:sz w:val="21"/>
          <w:szCs w:val="21"/>
        </w:rPr>
      </w:pPr>
      <w:bookmarkStart w:id="296" w:name="_Toc989272"/>
      <w:r>
        <w:rPr>
          <w:rFonts w:ascii="宋体" w:hAnsi="宋体" w:eastAsia="宋体" w:cs="宋体"/>
          <w:b/>
          <w:bCs/>
          <w:color w:val="auto"/>
          <w:sz w:val="21"/>
          <w:szCs w:val="21"/>
        </w:rPr>
        <w:t>81、外币货币性项目</w:t>
      </w:r>
      <w:bookmarkEnd w:id="296"/>
    </w:p>
    <w:p w14:paraId="71E6221A">
      <w:pPr>
        <w:keepNext/>
        <w:keepLines/>
        <w:spacing w:before="300" w:after="300" w:line="280" w:lineRule="exact"/>
        <w:jc w:val="left"/>
        <w:outlineLvl w:val="3"/>
        <w:rPr>
          <w:rFonts w:ascii="宋体" w:hAnsi="宋体" w:eastAsia="宋体" w:cs="宋体"/>
          <w:b/>
          <w:bCs/>
          <w:color w:val="auto"/>
          <w:sz w:val="21"/>
          <w:szCs w:val="21"/>
        </w:rPr>
      </w:pPr>
      <w:bookmarkStart w:id="297" w:name="_Toc989273"/>
      <w:r>
        <w:rPr>
          <w:rFonts w:ascii="宋体" w:hAnsi="宋体" w:eastAsia="宋体" w:cs="宋体"/>
          <w:b/>
          <w:bCs/>
          <w:color w:val="auto"/>
          <w:sz w:val="21"/>
          <w:szCs w:val="21"/>
        </w:rPr>
        <w:t>（1）外币货币性项目</w:t>
      </w:r>
      <w:bookmarkEnd w:id="297"/>
    </w:p>
    <w:p w14:paraId="552DEFC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0E6B7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74DCD7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4AB40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期末外币余额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6B63A2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折算汇率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92B321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期末折算人民币余额</w:t>
            </w:r>
          </w:p>
        </w:tc>
      </w:tr>
      <w:tr w14:paraId="753F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009F7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货币资金</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A685EB2">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69122C0">
            <w:pPr>
              <w:rPr>
                <w:color w:val="auto"/>
              </w:rPr>
            </w:pPr>
          </w:p>
        </w:tc>
        <w:tc>
          <w:tcPr>
            <w:tcW w:w="2410" w:type="dxa"/>
            <w:tcBorders>
              <w:top w:val="single" w:color="auto" w:sz="2" w:space="0"/>
              <w:left w:val="single" w:color="auto" w:sz="2" w:space="0"/>
              <w:bottom w:val="single" w:color="auto" w:sz="2" w:space="0"/>
              <w:right w:val="single" w:color="auto" w:sz="2" w:space="0"/>
            </w:tcBorders>
            <w:vAlign w:val="center"/>
          </w:tcPr>
          <w:p w14:paraId="7B3FB78A">
            <w:pPr>
              <w:spacing w:before="0" w:after="0" w:line="240" w:lineRule="exact"/>
              <w:jc w:val="right"/>
              <w:rPr>
                <w:rFonts w:ascii="宋体" w:hAnsi="宋体" w:eastAsia="宋体" w:cs="宋体"/>
                <w:color w:val="auto"/>
                <w:sz w:val="18"/>
                <w:szCs w:val="18"/>
              </w:rPr>
            </w:pPr>
          </w:p>
        </w:tc>
      </w:tr>
      <w:tr w14:paraId="501C55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D8930E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10D3D52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4,741.17</w:t>
            </w:r>
          </w:p>
        </w:tc>
        <w:tc>
          <w:tcPr>
            <w:tcW w:w="2410" w:type="dxa"/>
            <w:tcBorders>
              <w:top w:val="single" w:color="auto" w:sz="2" w:space="0"/>
              <w:left w:val="single" w:color="auto" w:sz="2" w:space="0"/>
              <w:bottom w:val="single" w:color="auto" w:sz="2" w:space="0"/>
              <w:right w:val="single" w:color="auto" w:sz="2" w:space="0"/>
            </w:tcBorders>
            <w:vAlign w:val="center"/>
          </w:tcPr>
          <w:p w14:paraId="08E01E9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 7.1888</w:t>
            </w:r>
          </w:p>
        </w:tc>
        <w:tc>
          <w:tcPr>
            <w:tcW w:w="2410" w:type="dxa"/>
            <w:tcBorders>
              <w:top w:val="single" w:color="auto" w:sz="2" w:space="0"/>
              <w:left w:val="single" w:color="auto" w:sz="2" w:space="0"/>
              <w:bottom w:val="single" w:color="auto" w:sz="2" w:space="0"/>
              <w:right w:val="single" w:color="auto" w:sz="2" w:space="0"/>
            </w:tcBorders>
            <w:vAlign w:val="center"/>
          </w:tcPr>
          <w:p w14:paraId="346309A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34,083.09</w:t>
            </w:r>
          </w:p>
        </w:tc>
      </w:tr>
      <w:tr w14:paraId="782C74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FBCFD34">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253EEC21">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8E63748">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EB5BD1F">
            <w:pPr>
              <w:spacing w:before="0" w:after="0" w:line="240" w:lineRule="exact"/>
              <w:jc w:val="right"/>
              <w:rPr>
                <w:rFonts w:ascii="宋体" w:hAnsi="宋体" w:eastAsia="宋体" w:cs="宋体"/>
                <w:color w:val="auto"/>
                <w:sz w:val="18"/>
                <w:szCs w:val="18"/>
              </w:rPr>
            </w:pPr>
          </w:p>
        </w:tc>
      </w:tr>
      <w:tr w14:paraId="01C6C2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ECE05A9">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04107AF2">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7D68D0C">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CC43B13">
            <w:pPr>
              <w:spacing w:before="0" w:after="0" w:line="240" w:lineRule="exact"/>
              <w:jc w:val="right"/>
              <w:rPr>
                <w:rFonts w:ascii="宋体" w:hAnsi="宋体" w:eastAsia="宋体" w:cs="宋体"/>
                <w:color w:val="auto"/>
                <w:sz w:val="18"/>
                <w:szCs w:val="18"/>
              </w:rPr>
            </w:pPr>
          </w:p>
        </w:tc>
      </w:tr>
      <w:tr w14:paraId="3CFFEA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A7A6C55">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2A5DDBC">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9439043">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B93DE21">
            <w:pPr>
              <w:spacing w:before="0" w:after="0" w:line="240" w:lineRule="exact"/>
              <w:jc w:val="right"/>
              <w:rPr>
                <w:rFonts w:ascii="宋体" w:hAnsi="宋体" w:eastAsia="宋体" w:cs="宋体"/>
                <w:color w:val="auto"/>
                <w:sz w:val="18"/>
                <w:szCs w:val="18"/>
              </w:rPr>
            </w:pPr>
          </w:p>
        </w:tc>
      </w:tr>
      <w:tr w14:paraId="234184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C693FB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应收账款</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BC2B1A5">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2084626">
            <w:pPr>
              <w:rPr>
                <w:color w:val="auto"/>
              </w:rPr>
            </w:pPr>
          </w:p>
        </w:tc>
        <w:tc>
          <w:tcPr>
            <w:tcW w:w="2410" w:type="dxa"/>
            <w:tcBorders>
              <w:top w:val="single" w:color="auto" w:sz="2" w:space="0"/>
              <w:left w:val="single" w:color="auto" w:sz="2" w:space="0"/>
              <w:bottom w:val="single" w:color="auto" w:sz="2" w:space="0"/>
              <w:right w:val="single" w:color="auto" w:sz="2" w:space="0"/>
            </w:tcBorders>
            <w:vAlign w:val="center"/>
          </w:tcPr>
          <w:p w14:paraId="5131330F">
            <w:pPr>
              <w:spacing w:before="0" w:after="0" w:line="240" w:lineRule="exact"/>
              <w:jc w:val="right"/>
              <w:rPr>
                <w:rFonts w:ascii="宋体" w:hAnsi="宋体" w:eastAsia="宋体" w:cs="宋体"/>
                <w:color w:val="auto"/>
                <w:sz w:val="18"/>
                <w:szCs w:val="18"/>
              </w:rPr>
            </w:pPr>
          </w:p>
        </w:tc>
      </w:tr>
      <w:tr w14:paraId="2829A3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1F9BF5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0DE220C8">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273B0BB">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07425DC">
            <w:pPr>
              <w:spacing w:before="0" w:after="0" w:line="240" w:lineRule="exact"/>
              <w:jc w:val="right"/>
              <w:rPr>
                <w:rFonts w:ascii="宋体" w:hAnsi="宋体" w:eastAsia="宋体" w:cs="宋体"/>
                <w:color w:val="auto"/>
                <w:sz w:val="18"/>
                <w:szCs w:val="18"/>
              </w:rPr>
            </w:pPr>
          </w:p>
        </w:tc>
      </w:tr>
      <w:tr w14:paraId="2DEC94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D1D80AD">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0D447566">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E3851C8">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E3EDEDE">
            <w:pPr>
              <w:spacing w:before="0" w:after="0" w:line="240" w:lineRule="exact"/>
              <w:jc w:val="right"/>
              <w:rPr>
                <w:rFonts w:ascii="宋体" w:hAnsi="宋体" w:eastAsia="宋体" w:cs="宋体"/>
                <w:color w:val="auto"/>
                <w:sz w:val="18"/>
                <w:szCs w:val="18"/>
              </w:rPr>
            </w:pPr>
          </w:p>
        </w:tc>
      </w:tr>
      <w:tr w14:paraId="47E31B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1288573">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444BC678">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3153823">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3BB92E5">
            <w:pPr>
              <w:spacing w:before="0" w:after="0" w:line="240" w:lineRule="exact"/>
              <w:jc w:val="right"/>
              <w:rPr>
                <w:rFonts w:ascii="宋体" w:hAnsi="宋体" w:eastAsia="宋体" w:cs="宋体"/>
                <w:color w:val="auto"/>
                <w:sz w:val="18"/>
                <w:szCs w:val="18"/>
              </w:rPr>
            </w:pPr>
          </w:p>
        </w:tc>
      </w:tr>
      <w:tr w14:paraId="667A34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C794486">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DBB5983">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9EE1DF2">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C0D5F80">
            <w:pPr>
              <w:spacing w:before="0" w:after="0" w:line="240" w:lineRule="exact"/>
              <w:jc w:val="right"/>
              <w:rPr>
                <w:rFonts w:ascii="宋体" w:hAnsi="宋体" w:eastAsia="宋体" w:cs="宋体"/>
                <w:color w:val="auto"/>
                <w:sz w:val="18"/>
                <w:szCs w:val="18"/>
              </w:rPr>
            </w:pPr>
          </w:p>
        </w:tc>
      </w:tr>
      <w:tr w14:paraId="1B1B7C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43FEB9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长期借款</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4A113CD">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058705E">
            <w:pPr>
              <w:rPr>
                <w:color w:val="auto"/>
              </w:rPr>
            </w:pPr>
          </w:p>
        </w:tc>
        <w:tc>
          <w:tcPr>
            <w:tcW w:w="2410" w:type="dxa"/>
            <w:tcBorders>
              <w:top w:val="single" w:color="auto" w:sz="2" w:space="0"/>
              <w:left w:val="single" w:color="auto" w:sz="2" w:space="0"/>
              <w:bottom w:val="single" w:color="auto" w:sz="2" w:space="0"/>
              <w:right w:val="single" w:color="auto" w:sz="2" w:space="0"/>
            </w:tcBorders>
            <w:vAlign w:val="center"/>
          </w:tcPr>
          <w:p w14:paraId="443D46A8">
            <w:pPr>
              <w:spacing w:before="0" w:after="0" w:line="240" w:lineRule="exact"/>
              <w:jc w:val="right"/>
              <w:rPr>
                <w:rFonts w:ascii="宋体" w:hAnsi="宋体" w:eastAsia="宋体" w:cs="宋体"/>
                <w:color w:val="auto"/>
                <w:sz w:val="18"/>
                <w:szCs w:val="18"/>
              </w:rPr>
            </w:pPr>
          </w:p>
        </w:tc>
      </w:tr>
      <w:tr w14:paraId="7204AC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D14C22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64DD4145">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8ED2237">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6FCC33B">
            <w:pPr>
              <w:spacing w:before="0" w:after="0" w:line="240" w:lineRule="exact"/>
              <w:jc w:val="right"/>
              <w:rPr>
                <w:rFonts w:ascii="宋体" w:hAnsi="宋体" w:eastAsia="宋体" w:cs="宋体"/>
                <w:color w:val="auto"/>
                <w:sz w:val="18"/>
                <w:szCs w:val="18"/>
              </w:rPr>
            </w:pPr>
          </w:p>
        </w:tc>
      </w:tr>
      <w:tr w14:paraId="7AA9D0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6F5C135">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6064CC76">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5124A46">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71BBF03">
            <w:pPr>
              <w:spacing w:before="0" w:after="0" w:line="240" w:lineRule="exact"/>
              <w:jc w:val="right"/>
              <w:rPr>
                <w:rFonts w:ascii="宋体" w:hAnsi="宋体" w:eastAsia="宋体" w:cs="宋体"/>
                <w:color w:val="auto"/>
                <w:sz w:val="18"/>
                <w:szCs w:val="18"/>
              </w:rPr>
            </w:pPr>
          </w:p>
        </w:tc>
      </w:tr>
      <w:tr w14:paraId="182402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EC624DF">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0B89989B">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C1E348E">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C84E636">
            <w:pPr>
              <w:spacing w:before="0" w:after="0" w:line="240" w:lineRule="exact"/>
              <w:jc w:val="right"/>
              <w:rPr>
                <w:rFonts w:ascii="宋体" w:hAnsi="宋体" w:eastAsia="宋体" w:cs="宋体"/>
                <w:color w:val="auto"/>
                <w:sz w:val="18"/>
                <w:szCs w:val="18"/>
              </w:rPr>
            </w:pPr>
          </w:p>
        </w:tc>
      </w:tr>
      <w:tr w14:paraId="59F392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40C81AF">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1BF245B">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2905746">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F738FE9">
            <w:pPr>
              <w:spacing w:before="0" w:after="0" w:line="240" w:lineRule="exact"/>
              <w:jc w:val="right"/>
              <w:rPr>
                <w:rFonts w:ascii="宋体" w:hAnsi="宋体" w:eastAsia="宋体" w:cs="宋体"/>
                <w:color w:val="auto"/>
                <w:sz w:val="18"/>
                <w:szCs w:val="18"/>
              </w:rPr>
            </w:pPr>
          </w:p>
        </w:tc>
      </w:tr>
    </w:tbl>
    <w:p w14:paraId="4317649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9DA4515">
      <w:pPr>
        <w:keepNext/>
        <w:keepLines/>
        <w:spacing w:before="300" w:after="300" w:line="280" w:lineRule="exact"/>
        <w:jc w:val="left"/>
        <w:outlineLvl w:val="3"/>
        <w:rPr>
          <w:rFonts w:ascii="宋体" w:hAnsi="宋体" w:eastAsia="宋体" w:cs="宋体"/>
          <w:b/>
          <w:bCs/>
          <w:color w:val="auto"/>
          <w:sz w:val="21"/>
          <w:szCs w:val="21"/>
        </w:rPr>
      </w:pPr>
      <w:bookmarkStart w:id="298" w:name="_Toc989274"/>
      <w:r>
        <w:rPr>
          <w:rFonts w:ascii="宋体" w:hAnsi="宋体" w:eastAsia="宋体" w:cs="宋体"/>
          <w:b/>
          <w:bCs/>
          <w:color w:val="auto"/>
          <w:sz w:val="21"/>
          <w:szCs w:val="21"/>
        </w:rPr>
        <w:t>（2）境外经营实体说明，包括对于重要的境外经营实体，应披露其境外主要经营地、记账本位币及选择依据，记账本位币发生变化的还应披露原因。</w:t>
      </w:r>
      <w:bookmarkEnd w:id="298"/>
    </w:p>
    <w:p w14:paraId="716BDD0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2BFFF512">
      <w:pPr>
        <w:keepNext/>
        <w:keepLines/>
        <w:spacing w:before="300" w:after="300" w:line="280" w:lineRule="exact"/>
        <w:jc w:val="left"/>
        <w:outlineLvl w:val="2"/>
        <w:rPr>
          <w:rFonts w:ascii="宋体" w:hAnsi="宋体" w:eastAsia="宋体" w:cs="宋体"/>
          <w:b/>
          <w:bCs/>
          <w:color w:val="auto"/>
          <w:sz w:val="21"/>
          <w:szCs w:val="21"/>
        </w:rPr>
      </w:pPr>
      <w:bookmarkStart w:id="299" w:name="_Toc989275"/>
      <w:r>
        <w:rPr>
          <w:rFonts w:ascii="宋体" w:hAnsi="宋体" w:eastAsia="宋体" w:cs="宋体"/>
          <w:b/>
          <w:bCs/>
          <w:color w:val="auto"/>
          <w:sz w:val="21"/>
          <w:szCs w:val="21"/>
        </w:rPr>
        <w:t>82、租赁</w:t>
      </w:r>
      <w:bookmarkEnd w:id="299"/>
    </w:p>
    <w:p w14:paraId="0D323987">
      <w:pPr>
        <w:keepNext/>
        <w:keepLines/>
        <w:spacing w:before="300" w:after="300" w:line="280" w:lineRule="exact"/>
        <w:jc w:val="left"/>
        <w:outlineLvl w:val="3"/>
        <w:rPr>
          <w:rFonts w:ascii="宋体" w:hAnsi="宋体" w:eastAsia="宋体" w:cs="宋体"/>
          <w:b/>
          <w:bCs/>
          <w:color w:val="auto"/>
          <w:sz w:val="21"/>
          <w:szCs w:val="21"/>
        </w:rPr>
      </w:pPr>
      <w:bookmarkStart w:id="300" w:name="_Toc989276"/>
      <w:r>
        <w:rPr>
          <w:rFonts w:ascii="宋体" w:hAnsi="宋体" w:eastAsia="宋体" w:cs="宋体"/>
          <w:b/>
          <w:bCs/>
          <w:color w:val="auto"/>
          <w:sz w:val="21"/>
          <w:szCs w:val="21"/>
        </w:rPr>
        <w:t>（1）本公司作为承租方</w:t>
      </w:r>
      <w:bookmarkEnd w:id="300"/>
    </w:p>
    <w:p w14:paraId="2439308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sym w:font="Wingdings 2" w:char="F052"/>
      </w:r>
      <w:r>
        <w:rPr>
          <w:rFonts w:ascii="宋体" w:hAnsi="宋体" w:eastAsia="宋体" w:cs="宋体"/>
          <w:color w:val="auto"/>
          <w:sz w:val="18"/>
          <w:szCs w:val="18"/>
        </w:rPr>
        <w:t>适用□不适用</w:t>
      </w:r>
    </w:p>
    <w:p w14:paraId="0527EEA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未纳入租赁负债计量的可变租赁付款额</w:t>
      </w:r>
    </w:p>
    <w:p w14:paraId="372B092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3320E50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简化处理的短期租赁或低价值资产的租赁费用</w:t>
      </w:r>
    </w:p>
    <w:p w14:paraId="037BFA3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sym w:font="Wingdings 2" w:char="F052"/>
      </w:r>
      <w:r>
        <w:rPr>
          <w:rFonts w:ascii="宋体" w:hAnsi="宋体" w:eastAsia="宋体" w:cs="宋体"/>
          <w:color w:val="auto"/>
          <w:sz w:val="18"/>
          <w:szCs w:val="18"/>
        </w:rPr>
        <w:t>适用□不适用</w:t>
      </w:r>
    </w:p>
    <w:tbl>
      <w:tblPr>
        <w:tblStyle w:val="5"/>
        <w:tblW w:w="54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719"/>
        <w:gridCol w:w="2771"/>
      </w:tblGrid>
      <w:tr w14:paraId="62C3B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1FC4FF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项目</w:t>
            </w:r>
          </w:p>
        </w:tc>
        <w:tc>
          <w:tcPr>
            <w:tcW w:w="2710"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7574B3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本期发生额</w:t>
            </w:r>
          </w:p>
        </w:tc>
      </w:tr>
      <w:tr w14:paraId="366C8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5F62CDE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短期租赁和低价值资产费用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33828982">
            <w:pPr>
              <w:keepNext w:val="0"/>
              <w:keepLines w:val="0"/>
              <w:widowControl/>
              <w:suppressLineNumbers w:val="0"/>
              <w:jc w:val="righ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67292.02</w:t>
            </w:r>
          </w:p>
        </w:tc>
      </w:tr>
    </w:tbl>
    <w:p w14:paraId="17D4664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涉及售后租回交易的情况</w:t>
      </w:r>
    </w:p>
    <w:p w14:paraId="5A536F8B">
      <w:pPr>
        <w:keepNext/>
        <w:keepLines/>
        <w:spacing w:before="300" w:after="300" w:line="280" w:lineRule="exact"/>
        <w:jc w:val="left"/>
        <w:outlineLvl w:val="3"/>
        <w:rPr>
          <w:rFonts w:ascii="宋体" w:hAnsi="宋体" w:eastAsia="宋体" w:cs="宋体"/>
          <w:b/>
          <w:bCs/>
          <w:color w:val="auto"/>
          <w:sz w:val="21"/>
          <w:szCs w:val="21"/>
        </w:rPr>
      </w:pPr>
      <w:bookmarkStart w:id="301" w:name="_Toc989277"/>
      <w:r>
        <w:rPr>
          <w:rFonts w:ascii="宋体" w:hAnsi="宋体" w:eastAsia="宋体" w:cs="宋体"/>
          <w:b/>
          <w:bCs/>
          <w:color w:val="auto"/>
          <w:sz w:val="21"/>
          <w:szCs w:val="21"/>
        </w:rPr>
        <w:t>（2）本公司作为出租方</w:t>
      </w:r>
      <w:bookmarkEnd w:id="301"/>
    </w:p>
    <w:p w14:paraId="11E9716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作为出租人的经营租赁</w:t>
      </w:r>
    </w:p>
    <w:p w14:paraId="7058CFD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sym w:font="Wingdings 2" w:char="F052"/>
      </w:r>
      <w:r>
        <w:rPr>
          <w:rFonts w:ascii="宋体" w:hAnsi="宋体" w:eastAsia="宋体" w:cs="宋体"/>
          <w:color w:val="auto"/>
          <w:sz w:val="18"/>
          <w:szCs w:val="18"/>
        </w:rPr>
        <w:t>适用□不适用</w:t>
      </w:r>
    </w:p>
    <w:p w14:paraId="05833E0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35A8F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B174B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51F5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租赁收入</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BCD9B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其中：未计入租赁收款额的可变租赁付款额相关的收入</w:t>
            </w:r>
          </w:p>
        </w:tc>
      </w:tr>
      <w:tr w14:paraId="2A6FBD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C9049E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经营租赁收入</w:t>
            </w:r>
          </w:p>
        </w:tc>
        <w:tc>
          <w:tcPr>
            <w:tcW w:w="3213" w:type="dxa"/>
            <w:tcBorders>
              <w:top w:val="single" w:color="auto" w:sz="2" w:space="0"/>
              <w:left w:val="single" w:color="auto" w:sz="2" w:space="0"/>
              <w:bottom w:val="single" w:color="auto" w:sz="2" w:space="0"/>
              <w:right w:val="single" w:color="auto" w:sz="2" w:space="0"/>
            </w:tcBorders>
            <w:vAlign w:val="center"/>
          </w:tcPr>
          <w:p w14:paraId="2108471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1,810,943.61</w:t>
            </w:r>
          </w:p>
        </w:tc>
        <w:tc>
          <w:tcPr>
            <w:tcW w:w="3213" w:type="dxa"/>
            <w:tcBorders>
              <w:top w:val="single" w:color="auto" w:sz="2" w:space="0"/>
              <w:left w:val="single" w:color="auto" w:sz="2" w:space="0"/>
              <w:bottom w:val="single" w:color="auto" w:sz="2" w:space="0"/>
              <w:right w:val="single" w:color="auto" w:sz="2" w:space="0"/>
            </w:tcBorders>
            <w:vAlign w:val="center"/>
          </w:tcPr>
          <w:p w14:paraId="677BBF2C">
            <w:pPr>
              <w:spacing w:before="0" w:after="0" w:line="240" w:lineRule="exact"/>
              <w:jc w:val="right"/>
              <w:rPr>
                <w:rFonts w:ascii="宋体" w:hAnsi="宋体" w:eastAsia="宋体" w:cs="宋体"/>
                <w:color w:val="auto"/>
                <w:sz w:val="18"/>
                <w:szCs w:val="18"/>
              </w:rPr>
            </w:pPr>
          </w:p>
        </w:tc>
      </w:tr>
      <w:tr w14:paraId="4FD5E4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62970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3D4FC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1,810,943.61</w:t>
            </w:r>
          </w:p>
        </w:tc>
        <w:tc>
          <w:tcPr>
            <w:tcW w:w="3213" w:type="dxa"/>
            <w:tcBorders>
              <w:top w:val="single" w:color="auto" w:sz="2" w:space="0"/>
              <w:left w:val="single" w:color="auto" w:sz="2" w:space="0"/>
              <w:bottom w:val="single" w:color="auto" w:sz="2" w:space="0"/>
              <w:right w:val="single" w:color="auto" w:sz="2" w:space="0"/>
            </w:tcBorders>
            <w:vAlign w:val="center"/>
          </w:tcPr>
          <w:p w14:paraId="216DB646">
            <w:pPr>
              <w:spacing w:before="0" w:after="0" w:line="240" w:lineRule="exact"/>
              <w:jc w:val="right"/>
              <w:rPr>
                <w:rFonts w:ascii="宋体" w:hAnsi="宋体" w:eastAsia="宋体" w:cs="宋体"/>
                <w:color w:val="auto"/>
                <w:sz w:val="18"/>
                <w:szCs w:val="18"/>
              </w:rPr>
            </w:pPr>
          </w:p>
        </w:tc>
      </w:tr>
    </w:tbl>
    <w:p w14:paraId="1B154C8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作为出租人的融资租赁</w:t>
      </w:r>
    </w:p>
    <w:p w14:paraId="5AA853B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7BEE977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未来五年每年未折现租赁收款额</w:t>
      </w:r>
    </w:p>
    <w:p w14:paraId="4D5B485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09B3358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未折现租赁收款额与租赁投资净额的调节表</w:t>
      </w:r>
    </w:p>
    <w:p w14:paraId="5DC5AFD7">
      <w:pPr>
        <w:keepNext/>
        <w:keepLines/>
        <w:spacing w:before="300" w:after="300" w:line="280" w:lineRule="exact"/>
        <w:jc w:val="left"/>
        <w:outlineLvl w:val="3"/>
        <w:rPr>
          <w:rFonts w:ascii="宋体" w:hAnsi="宋体" w:eastAsia="宋体" w:cs="宋体"/>
          <w:b/>
          <w:bCs/>
          <w:color w:val="auto"/>
          <w:sz w:val="21"/>
          <w:szCs w:val="21"/>
        </w:rPr>
      </w:pPr>
      <w:bookmarkStart w:id="302" w:name="_Toc989278"/>
      <w:r>
        <w:rPr>
          <w:rFonts w:ascii="宋体" w:hAnsi="宋体" w:eastAsia="宋体" w:cs="宋体"/>
          <w:b/>
          <w:bCs/>
          <w:color w:val="auto"/>
          <w:sz w:val="21"/>
          <w:szCs w:val="21"/>
        </w:rPr>
        <w:t>（3）作为生产商或经销商确认融资租赁销售损益</w:t>
      </w:r>
      <w:bookmarkEnd w:id="302"/>
    </w:p>
    <w:p w14:paraId="4EE2403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1C053CD5">
      <w:pPr>
        <w:keepNext/>
        <w:keepLines/>
        <w:spacing w:before="300" w:after="300" w:line="280" w:lineRule="exact"/>
        <w:jc w:val="left"/>
        <w:outlineLvl w:val="2"/>
        <w:rPr>
          <w:rFonts w:ascii="宋体" w:hAnsi="宋体" w:eastAsia="宋体" w:cs="宋体"/>
          <w:b/>
          <w:bCs/>
          <w:color w:val="auto"/>
          <w:sz w:val="21"/>
          <w:szCs w:val="21"/>
        </w:rPr>
      </w:pPr>
      <w:bookmarkStart w:id="303" w:name="_Toc989279"/>
      <w:r>
        <w:rPr>
          <w:rFonts w:ascii="宋体" w:hAnsi="宋体" w:eastAsia="宋体" w:cs="宋体"/>
          <w:b/>
          <w:bCs/>
          <w:color w:val="auto"/>
          <w:sz w:val="21"/>
          <w:szCs w:val="21"/>
        </w:rPr>
        <w:t>83、数据资源</w:t>
      </w:r>
      <w:bookmarkEnd w:id="303"/>
    </w:p>
    <w:p w14:paraId="4A3A5965">
      <w:pPr>
        <w:keepNext/>
        <w:keepLines/>
        <w:spacing w:before="300" w:after="300" w:line="280" w:lineRule="exact"/>
        <w:jc w:val="left"/>
        <w:outlineLvl w:val="2"/>
        <w:rPr>
          <w:rFonts w:ascii="宋体" w:hAnsi="宋体" w:eastAsia="宋体" w:cs="宋体"/>
          <w:b/>
          <w:bCs/>
          <w:color w:val="auto"/>
          <w:sz w:val="21"/>
          <w:szCs w:val="21"/>
        </w:rPr>
      </w:pPr>
      <w:bookmarkStart w:id="304" w:name="_Toc989280"/>
      <w:r>
        <w:rPr>
          <w:rFonts w:ascii="宋体" w:hAnsi="宋体" w:eastAsia="宋体" w:cs="宋体"/>
          <w:b/>
          <w:bCs/>
          <w:color w:val="auto"/>
          <w:sz w:val="21"/>
          <w:szCs w:val="21"/>
        </w:rPr>
        <w:t>84、其他</w:t>
      </w:r>
      <w:bookmarkEnd w:id="304"/>
    </w:p>
    <w:p w14:paraId="3264D68A">
      <w:pPr>
        <w:keepNext/>
        <w:keepLines/>
        <w:spacing w:before="300" w:after="300" w:line="320" w:lineRule="exact"/>
        <w:jc w:val="left"/>
        <w:outlineLvl w:val="1"/>
        <w:rPr>
          <w:rFonts w:ascii="宋体" w:hAnsi="宋体" w:eastAsia="宋体" w:cs="宋体"/>
          <w:b/>
          <w:bCs/>
          <w:color w:val="auto"/>
          <w:sz w:val="24"/>
          <w:szCs w:val="24"/>
        </w:rPr>
      </w:pPr>
      <w:bookmarkStart w:id="305" w:name="_Toc989281"/>
      <w:r>
        <w:rPr>
          <w:rFonts w:ascii="宋体" w:hAnsi="宋体" w:eastAsia="宋体" w:cs="宋体"/>
          <w:b/>
          <w:bCs/>
          <w:color w:val="auto"/>
          <w:sz w:val="24"/>
          <w:szCs w:val="24"/>
        </w:rPr>
        <w:t>八、研发支出</w:t>
      </w:r>
      <w:bookmarkEnd w:id="305"/>
    </w:p>
    <w:p w14:paraId="0E289A4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970A3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65E81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17655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51384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09C8EF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3A0C3D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技术服务费</w:t>
            </w:r>
          </w:p>
        </w:tc>
        <w:tc>
          <w:tcPr>
            <w:tcW w:w="3213" w:type="dxa"/>
            <w:tcBorders>
              <w:top w:val="single" w:color="auto" w:sz="2" w:space="0"/>
              <w:left w:val="single" w:color="auto" w:sz="2" w:space="0"/>
              <w:bottom w:val="single" w:color="auto" w:sz="2" w:space="0"/>
              <w:right w:val="single" w:color="auto" w:sz="2" w:space="0"/>
            </w:tcBorders>
            <w:vAlign w:val="center"/>
          </w:tcPr>
          <w:p w14:paraId="1A7107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4,261,014.73</w:t>
            </w:r>
          </w:p>
        </w:tc>
        <w:tc>
          <w:tcPr>
            <w:tcW w:w="3213" w:type="dxa"/>
            <w:tcBorders>
              <w:top w:val="single" w:color="auto" w:sz="2" w:space="0"/>
              <w:left w:val="single" w:color="auto" w:sz="2" w:space="0"/>
              <w:bottom w:val="single" w:color="auto" w:sz="2" w:space="0"/>
              <w:right w:val="single" w:color="auto" w:sz="2" w:space="0"/>
            </w:tcBorders>
            <w:vAlign w:val="center"/>
          </w:tcPr>
          <w:p w14:paraId="1005CE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5,758,189.41</w:t>
            </w:r>
          </w:p>
        </w:tc>
      </w:tr>
      <w:tr w14:paraId="490DD8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F5E16A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40B2FB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5,971,652.15</w:t>
            </w:r>
          </w:p>
        </w:tc>
        <w:tc>
          <w:tcPr>
            <w:tcW w:w="3213" w:type="dxa"/>
            <w:tcBorders>
              <w:top w:val="single" w:color="auto" w:sz="2" w:space="0"/>
              <w:left w:val="single" w:color="auto" w:sz="2" w:space="0"/>
              <w:bottom w:val="single" w:color="auto" w:sz="2" w:space="0"/>
              <w:right w:val="single" w:color="auto" w:sz="2" w:space="0"/>
            </w:tcBorders>
            <w:vAlign w:val="center"/>
          </w:tcPr>
          <w:p w14:paraId="6089CD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8,852,276.60</w:t>
            </w:r>
          </w:p>
        </w:tc>
      </w:tr>
      <w:tr w14:paraId="4CFADA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E2C1F1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研发领用原料及低值易耗品</w:t>
            </w:r>
          </w:p>
        </w:tc>
        <w:tc>
          <w:tcPr>
            <w:tcW w:w="3213" w:type="dxa"/>
            <w:tcBorders>
              <w:top w:val="single" w:color="auto" w:sz="2" w:space="0"/>
              <w:left w:val="single" w:color="auto" w:sz="2" w:space="0"/>
              <w:bottom w:val="single" w:color="auto" w:sz="2" w:space="0"/>
              <w:right w:val="single" w:color="auto" w:sz="2" w:space="0"/>
            </w:tcBorders>
            <w:vAlign w:val="center"/>
          </w:tcPr>
          <w:p w14:paraId="08410F0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1,962,018.09</w:t>
            </w:r>
          </w:p>
        </w:tc>
        <w:tc>
          <w:tcPr>
            <w:tcW w:w="3213" w:type="dxa"/>
            <w:tcBorders>
              <w:top w:val="single" w:color="auto" w:sz="2" w:space="0"/>
              <w:left w:val="single" w:color="auto" w:sz="2" w:space="0"/>
              <w:bottom w:val="single" w:color="auto" w:sz="2" w:space="0"/>
              <w:right w:val="single" w:color="auto" w:sz="2" w:space="0"/>
            </w:tcBorders>
            <w:vAlign w:val="center"/>
          </w:tcPr>
          <w:p w14:paraId="5A02E97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743,653.08</w:t>
            </w:r>
          </w:p>
        </w:tc>
      </w:tr>
      <w:tr w14:paraId="539D4B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DD50B9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专利申请费</w:t>
            </w:r>
          </w:p>
        </w:tc>
        <w:tc>
          <w:tcPr>
            <w:tcW w:w="3213" w:type="dxa"/>
            <w:tcBorders>
              <w:top w:val="single" w:color="auto" w:sz="2" w:space="0"/>
              <w:left w:val="single" w:color="auto" w:sz="2" w:space="0"/>
              <w:bottom w:val="single" w:color="auto" w:sz="2" w:space="0"/>
              <w:right w:val="single" w:color="auto" w:sz="2" w:space="0"/>
            </w:tcBorders>
            <w:vAlign w:val="center"/>
          </w:tcPr>
          <w:p w14:paraId="7EA0D5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983,431.51</w:t>
            </w:r>
          </w:p>
        </w:tc>
        <w:tc>
          <w:tcPr>
            <w:tcW w:w="3213" w:type="dxa"/>
            <w:tcBorders>
              <w:top w:val="single" w:color="auto" w:sz="2" w:space="0"/>
              <w:left w:val="single" w:color="auto" w:sz="2" w:space="0"/>
              <w:bottom w:val="single" w:color="auto" w:sz="2" w:space="0"/>
              <w:right w:val="single" w:color="auto" w:sz="2" w:space="0"/>
            </w:tcBorders>
            <w:vAlign w:val="center"/>
          </w:tcPr>
          <w:p w14:paraId="68BDBC2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855,962.23</w:t>
            </w:r>
          </w:p>
        </w:tc>
      </w:tr>
      <w:tr w14:paraId="529E0A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9792F1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折旧摊销费</w:t>
            </w:r>
          </w:p>
        </w:tc>
        <w:tc>
          <w:tcPr>
            <w:tcW w:w="3213" w:type="dxa"/>
            <w:tcBorders>
              <w:top w:val="single" w:color="auto" w:sz="2" w:space="0"/>
              <w:left w:val="single" w:color="auto" w:sz="2" w:space="0"/>
              <w:bottom w:val="single" w:color="auto" w:sz="2" w:space="0"/>
              <w:right w:val="single" w:color="auto" w:sz="2" w:space="0"/>
            </w:tcBorders>
            <w:vAlign w:val="center"/>
          </w:tcPr>
          <w:p w14:paraId="496AE6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965,630.98</w:t>
            </w:r>
          </w:p>
        </w:tc>
        <w:tc>
          <w:tcPr>
            <w:tcW w:w="3213" w:type="dxa"/>
            <w:tcBorders>
              <w:top w:val="single" w:color="auto" w:sz="2" w:space="0"/>
              <w:left w:val="single" w:color="auto" w:sz="2" w:space="0"/>
              <w:bottom w:val="single" w:color="auto" w:sz="2" w:space="0"/>
              <w:right w:val="single" w:color="auto" w:sz="2" w:space="0"/>
            </w:tcBorders>
            <w:vAlign w:val="center"/>
          </w:tcPr>
          <w:p w14:paraId="0A9883E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1,214,664.60</w:t>
            </w:r>
          </w:p>
        </w:tc>
      </w:tr>
      <w:tr w14:paraId="02C53C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6A3F40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交通差旅费</w:t>
            </w:r>
          </w:p>
        </w:tc>
        <w:tc>
          <w:tcPr>
            <w:tcW w:w="3213" w:type="dxa"/>
            <w:tcBorders>
              <w:top w:val="single" w:color="auto" w:sz="2" w:space="0"/>
              <w:left w:val="single" w:color="auto" w:sz="2" w:space="0"/>
              <w:bottom w:val="single" w:color="auto" w:sz="2" w:space="0"/>
              <w:right w:val="single" w:color="auto" w:sz="2" w:space="0"/>
            </w:tcBorders>
            <w:vAlign w:val="center"/>
          </w:tcPr>
          <w:p w14:paraId="37965A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353,757.53</w:t>
            </w:r>
          </w:p>
        </w:tc>
        <w:tc>
          <w:tcPr>
            <w:tcW w:w="3213" w:type="dxa"/>
            <w:tcBorders>
              <w:top w:val="single" w:color="auto" w:sz="2" w:space="0"/>
              <w:left w:val="single" w:color="auto" w:sz="2" w:space="0"/>
              <w:bottom w:val="single" w:color="auto" w:sz="2" w:space="0"/>
              <w:right w:val="single" w:color="auto" w:sz="2" w:space="0"/>
            </w:tcBorders>
            <w:vAlign w:val="center"/>
          </w:tcPr>
          <w:p w14:paraId="6C72BD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168,081.42</w:t>
            </w:r>
          </w:p>
        </w:tc>
      </w:tr>
      <w:tr w14:paraId="6417AD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0FEB5A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房租物业费</w:t>
            </w:r>
          </w:p>
        </w:tc>
        <w:tc>
          <w:tcPr>
            <w:tcW w:w="3213" w:type="dxa"/>
            <w:tcBorders>
              <w:top w:val="single" w:color="auto" w:sz="2" w:space="0"/>
              <w:left w:val="single" w:color="auto" w:sz="2" w:space="0"/>
              <w:bottom w:val="single" w:color="auto" w:sz="2" w:space="0"/>
              <w:right w:val="single" w:color="auto" w:sz="2" w:space="0"/>
            </w:tcBorders>
            <w:vAlign w:val="center"/>
          </w:tcPr>
          <w:p w14:paraId="71A0BF1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87,060.25</w:t>
            </w:r>
          </w:p>
        </w:tc>
        <w:tc>
          <w:tcPr>
            <w:tcW w:w="3213" w:type="dxa"/>
            <w:tcBorders>
              <w:top w:val="single" w:color="auto" w:sz="2" w:space="0"/>
              <w:left w:val="single" w:color="auto" w:sz="2" w:space="0"/>
              <w:bottom w:val="single" w:color="auto" w:sz="2" w:space="0"/>
              <w:right w:val="single" w:color="auto" w:sz="2" w:space="0"/>
            </w:tcBorders>
            <w:vAlign w:val="center"/>
          </w:tcPr>
          <w:p w14:paraId="6AE260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119,521.00</w:t>
            </w:r>
          </w:p>
        </w:tc>
      </w:tr>
      <w:tr w14:paraId="11E502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8019C0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会议费用</w:t>
            </w:r>
          </w:p>
        </w:tc>
        <w:tc>
          <w:tcPr>
            <w:tcW w:w="3213" w:type="dxa"/>
            <w:tcBorders>
              <w:top w:val="single" w:color="auto" w:sz="2" w:space="0"/>
              <w:left w:val="single" w:color="auto" w:sz="2" w:space="0"/>
              <w:bottom w:val="single" w:color="auto" w:sz="2" w:space="0"/>
              <w:right w:val="single" w:color="auto" w:sz="2" w:space="0"/>
            </w:tcBorders>
            <w:vAlign w:val="center"/>
          </w:tcPr>
          <w:p w14:paraId="0ACED0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382,119.24</w:t>
            </w:r>
          </w:p>
        </w:tc>
        <w:tc>
          <w:tcPr>
            <w:tcW w:w="3213" w:type="dxa"/>
            <w:tcBorders>
              <w:top w:val="single" w:color="auto" w:sz="2" w:space="0"/>
              <w:left w:val="single" w:color="auto" w:sz="2" w:space="0"/>
              <w:bottom w:val="single" w:color="auto" w:sz="2" w:space="0"/>
              <w:right w:val="single" w:color="auto" w:sz="2" w:space="0"/>
            </w:tcBorders>
            <w:vAlign w:val="center"/>
          </w:tcPr>
          <w:p w14:paraId="28D1CCD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15,573.86</w:t>
            </w:r>
          </w:p>
        </w:tc>
      </w:tr>
      <w:tr w14:paraId="45A6AA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CB82FA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5AD974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38,567.65</w:t>
            </w:r>
          </w:p>
        </w:tc>
        <w:tc>
          <w:tcPr>
            <w:tcW w:w="3213" w:type="dxa"/>
            <w:tcBorders>
              <w:top w:val="single" w:color="auto" w:sz="2" w:space="0"/>
              <w:left w:val="single" w:color="auto" w:sz="2" w:space="0"/>
              <w:bottom w:val="single" w:color="auto" w:sz="2" w:space="0"/>
              <w:right w:val="single" w:color="auto" w:sz="2" w:space="0"/>
            </w:tcBorders>
            <w:vAlign w:val="center"/>
          </w:tcPr>
          <w:p w14:paraId="1C89C1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124,890.93</w:t>
            </w:r>
          </w:p>
        </w:tc>
      </w:tr>
      <w:tr w14:paraId="39E7F3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99E0EF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0C8F471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868,743.29</w:t>
            </w:r>
          </w:p>
        </w:tc>
        <w:tc>
          <w:tcPr>
            <w:tcW w:w="3213" w:type="dxa"/>
            <w:tcBorders>
              <w:top w:val="single" w:color="auto" w:sz="2" w:space="0"/>
              <w:left w:val="single" w:color="auto" w:sz="2" w:space="0"/>
              <w:bottom w:val="single" w:color="auto" w:sz="2" w:space="0"/>
              <w:right w:val="single" w:color="auto" w:sz="2" w:space="0"/>
            </w:tcBorders>
            <w:vAlign w:val="center"/>
          </w:tcPr>
          <w:p w14:paraId="17D295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672,615.84</w:t>
            </w:r>
          </w:p>
        </w:tc>
      </w:tr>
      <w:tr w14:paraId="788435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4BF24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353F7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15,873,995.42</w:t>
            </w:r>
          </w:p>
        </w:tc>
        <w:tc>
          <w:tcPr>
            <w:tcW w:w="3213" w:type="dxa"/>
            <w:tcBorders>
              <w:top w:val="single" w:color="auto" w:sz="2" w:space="0"/>
              <w:left w:val="single" w:color="auto" w:sz="2" w:space="0"/>
              <w:bottom w:val="single" w:color="auto" w:sz="2" w:space="0"/>
              <w:right w:val="single" w:color="auto" w:sz="2" w:space="0"/>
            </w:tcBorders>
            <w:vAlign w:val="center"/>
          </w:tcPr>
          <w:p w14:paraId="73D5F77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18,525,428.97</w:t>
            </w:r>
          </w:p>
        </w:tc>
      </w:tr>
      <w:tr w14:paraId="6FD358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3E3C5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其中：费用化研发支出</w:t>
            </w:r>
          </w:p>
        </w:tc>
        <w:tc>
          <w:tcPr>
            <w:tcW w:w="3213" w:type="dxa"/>
            <w:tcBorders>
              <w:top w:val="single" w:color="auto" w:sz="2" w:space="0"/>
              <w:left w:val="single" w:color="auto" w:sz="2" w:space="0"/>
              <w:bottom w:val="single" w:color="auto" w:sz="2" w:space="0"/>
              <w:right w:val="single" w:color="auto" w:sz="2" w:space="0"/>
            </w:tcBorders>
            <w:vAlign w:val="center"/>
          </w:tcPr>
          <w:p w14:paraId="28E48E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14,758,327.10</w:t>
            </w:r>
          </w:p>
        </w:tc>
        <w:tc>
          <w:tcPr>
            <w:tcW w:w="3213" w:type="dxa"/>
            <w:tcBorders>
              <w:top w:val="single" w:color="auto" w:sz="2" w:space="0"/>
              <w:left w:val="single" w:color="auto" w:sz="2" w:space="0"/>
              <w:bottom w:val="single" w:color="auto" w:sz="2" w:space="0"/>
              <w:right w:val="single" w:color="auto" w:sz="2" w:space="0"/>
            </w:tcBorders>
            <w:vAlign w:val="center"/>
          </w:tcPr>
          <w:p w14:paraId="2FC4168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14,367,719.17</w:t>
            </w:r>
          </w:p>
        </w:tc>
      </w:tr>
      <w:tr w14:paraId="26F36E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9E17D0">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资本化研发支出</w:t>
            </w:r>
          </w:p>
        </w:tc>
        <w:tc>
          <w:tcPr>
            <w:tcW w:w="3213" w:type="dxa"/>
            <w:tcBorders>
              <w:top w:val="single" w:color="auto" w:sz="2" w:space="0"/>
              <w:left w:val="single" w:color="auto" w:sz="2" w:space="0"/>
              <w:bottom w:val="single" w:color="auto" w:sz="2" w:space="0"/>
              <w:right w:val="single" w:color="auto" w:sz="2" w:space="0"/>
            </w:tcBorders>
            <w:vAlign w:val="center"/>
          </w:tcPr>
          <w:p w14:paraId="696CC48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1,115,668.32</w:t>
            </w:r>
          </w:p>
        </w:tc>
        <w:tc>
          <w:tcPr>
            <w:tcW w:w="3213" w:type="dxa"/>
            <w:tcBorders>
              <w:top w:val="single" w:color="auto" w:sz="2" w:space="0"/>
              <w:left w:val="single" w:color="auto" w:sz="2" w:space="0"/>
              <w:bottom w:val="single" w:color="auto" w:sz="2" w:space="0"/>
              <w:right w:val="single" w:color="auto" w:sz="2" w:space="0"/>
            </w:tcBorders>
            <w:vAlign w:val="center"/>
          </w:tcPr>
          <w:p w14:paraId="391329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4,157,709.80</w:t>
            </w:r>
          </w:p>
        </w:tc>
      </w:tr>
    </w:tbl>
    <w:p w14:paraId="10ED968A">
      <w:pPr>
        <w:keepNext/>
        <w:keepLines/>
        <w:spacing w:before="300" w:after="300" w:line="280" w:lineRule="exact"/>
        <w:jc w:val="left"/>
        <w:outlineLvl w:val="2"/>
        <w:rPr>
          <w:rFonts w:ascii="宋体" w:hAnsi="宋体" w:eastAsia="宋体" w:cs="宋体"/>
          <w:b/>
          <w:bCs/>
          <w:color w:val="auto"/>
          <w:sz w:val="21"/>
          <w:szCs w:val="21"/>
        </w:rPr>
      </w:pPr>
      <w:bookmarkStart w:id="306" w:name="_Toc989282"/>
      <w:r>
        <w:rPr>
          <w:rFonts w:ascii="宋体" w:hAnsi="宋体" w:eastAsia="宋体" w:cs="宋体"/>
          <w:b/>
          <w:bCs/>
          <w:color w:val="auto"/>
          <w:sz w:val="21"/>
          <w:szCs w:val="21"/>
        </w:rPr>
        <w:t>1、符合资本化条件的研发项目</w:t>
      </w:r>
      <w:bookmarkEnd w:id="306"/>
    </w:p>
    <w:p w14:paraId="1F6F938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4F221A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94704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F05EC6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3213"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E57706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本期增加金额</w:t>
            </w:r>
          </w:p>
        </w:tc>
        <w:tc>
          <w:tcPr>
            <w:tcW w:w="3213"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B74EA2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本期减少金额</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B084D5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08A6FA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A31B0F3">
            <w:pPr>
              <w:rPr>
                <w:color w:val="auto"/>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509B7E">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F02D2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内部开发支出</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26EEBB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071" w:type="dxa"/>
            <w:tcBorders>
              <w:top w:val="single" w:color="auto" w:sz="2" w:space="0"/>
              <w:left w:val="single" w:color="auto" w:sz="2" w:space="0"/>
              <w:bottom w:val="single" w:color="auto" w:sz="2" w:space="0"/>
              <w:right w:val="single" w:color="auto" w:sz="2" w:space="0"/>
            </w:tcBorders>
            <w:vAlign w:val="center"/>
          </w:tcPr>
          <w:p w14:paraId="260F5932">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小计</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B86905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确认为无形资产</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74CEE6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转入当期损益</w:t>
            </w:r>
          </w:p>
        </w:tc>
        <w:tc>
          <w:tcPr>
            <w:tcW w:w="1071" w:type="dxa"/>
            <w:tcBorders>
              <w:top w:val="single" w:color="auto" w:sz="2" w:space="0"/>
              <w:left w:val="single" w:color="auto" w:sz="2" w:space="0"/>
              <w:bottom w:val="single" w:color="auto" w:sz="2" w:space="0"/>
              <w:right w:val="single" w:color="auto" w:sz="2" w:space="0"/>
            </w:tcBorders>
            <w:vAlign w:val="center"/>
          </w:tcPr>
          <w:p w14:paraId="08A7F19F">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小计</w:t>
            </w: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17C21A1">
            <w:pPr>
              <w:rPr>
                <w:color w:val="auto"/>
              </w:rPr>
            </w:pPr>
          </w:p>
        </w:tc>
      </w:tr>
      <w:tr w14:paraId="57EDF9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C2DA78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抗冠状病毒药物硫酸羟氯喹片（治疗与预防）</w:t>
            </w:r>
          </w:p>
        </w:tc>
        <w:tc>
          <w:tcPr>
            <w:tcW w:w="1071" w:type="dxa"/>
            <w:tcBorders>
              <w:top w:val="single" w:color="auto" w:sz="2" w:space="0"/>
              <w:left w:val="single" w:color="auto" w:sz="2" w:space="0"/>
              <w:bottom w:val="single" w:color="auto" w:sz="2" w:space="0"/>
              <w:right w:val="single" w:color="auto" w:sz="2" w:space="0"/>
            </w:tcBorders>
            <w:vAlign w:val="center"/>
          </w:tcPr>
          <w:p w14:paraId="0650B1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5,426,809.51</w:t>
            </w:r>
          </w:p>
        </w:tc>
        <w:tc>
          <w:tcPr>
            <w:tcW w:w="1071" w:type="dxa"/>
            <w:tcBorders>
              <w:top w:val="single" w:color="auto" w:sz="2" w:space="0"/>
              <w:left w:val="single" w:color="auto" w:sz="2" w:space="0"/>
              <w:bottom w:val="single" w:color="auto" w:sz="2" w:space="0"/>
              <w:right w:val="single" w:color="auto" w:sz="2" w:space="0"/>
            </w:tcBorders>
            <w:vAlign w:val="center"/>
          </w:tcPr>
          <w:p w14:paraId="66C2CEF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1,353.21</w:t>
            </w:r>
          </w:p>
        </w:tc>
        <w:tc>
          <w:tcPr>
            <w:tcW w:w="1071" w:type="dxa"/>
            <w:tcBorders>
              <w:top w:val="single" w:color="auto" w:sz="2" w:space="0"/>
              <w:left w:val="single" w:color="auto" w:sz="2" w:space="0"/>
              <w:bottom w:val="single" w:color="auto" w:sz="2" w:space="0"/>
              <w:right w:val="single" w:color="auto" w:sz="2" w:space="0"/>
            </w:tcBorders>
            <w:vAlign w:val="center"/>
          </w:tcPr>
          <w:p w14:paraId="6ED73D4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66F58A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1,353.21</w:t>
            </w:r>
          </w:p>
        </w:tc>
        <w:tc>
          <w:tcPr>
            <w:tcW w:w="1071" w:type="dxa"/>
            <w:tcBorders>
              <w:top w:val="single" w:color="auto" w:sz="2" w:space="0"/>
              <w:left w:val="single" w:color="auto" w:sz="2" w:space="0"/>
              <w:bottom w:val="single" w:color="auto" w:sz="2" w:space="0"/>
              <w:right w:val="single" w:color="auto" w:sz="2" w:space="0"/>
            </w:tcBorders>
            <w:vAlign w:val="center"/>
          </w:tcPr>
          <w:p w14:paraId="62A0BA2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5,428,162.72</w:t>
            </w:r>
          </w:p>
        </w:tc>
        <w:tc>
          <w:tcPr>
            <w:tcW w:w="1071" w:type="dxa"/>
            <w:tcBorders>
              <w:top w:val="single" w:color="auto" w:sz="2" w:space="0"/>
              <w:left w:val="single" w:color="auto" w:sz="2" w:space="0"/>
              <w:bottom w:val="single" w:color="auto" w:sz="2" w:space="0"/>
              <w:right w:val="single" w:color="auto" w:sz="2" w:space="0"/>
            </w:tcBorders>
            <w:vAlign w:val="center"/>
          </w:tcPr>
          <w:p w14:paraId="711A2C5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DA3AA1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5,428,162.72</w:t>
            </w:r>
          </w:p>
        </w:tc>
        <w:tc>
          <w:tcPr>
            <w:tcW w:w="1071" w:type="dxa"/>
            <w:tcBorders>
              <w:top w:val="single" w:color="auto" w:sz="2" w:space="0"/>
              <w:left w:val="single" w:color="auto" w:sz="2" w:space="0"/>
              <w:bottom w:val="single" w:color="auto" w:sz="2" w:space="0"/>
              <w:right w:val="single" w:color="auto" w:sz="2" w:space="0"/>
            </w:tcBorders>
            <w:vAlign w:val="center"/>
          </w:tcPr>
          <w:p w14:paraId="5990A7E1">
            <w:pPr>
              <w:spacing w:before="0" w:after="0" w:line="240" w:lineRule="exact"/>
              <w:jc w:val="right"/>
              <w:rPr>
                <w:rFonts w:ascii="宋体" w:hAnsi="宋体" w:eastAsia="宋体" w:cs="宋体"/>
                <w:color w:val="auto"/>
                <w:sz w:val="18"/>
                <w:szCs w:val="18"/>
              </w:rPr>
            </w:pPr>
          </w:p>
        </w:tc>
      </w:tr>
      <w:tr w14:paraId="3150B4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55B2A0D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利托那韦片（HIV适应症）</w:t>
            </w:r>
          </w:p>
        </w:tc>
        <w:tc>
          <w:tcPr>
            <w:tcW w:w="1071" w:type="dxa"/>
            <w:tcBorders>
              <w:top w:val="single" w:color="auto" w:sz="2" w:space="0"/>
              <w:left w:val="single" w:color="auto" w:sz="2" w:space="0"/>
              <w:bottom w:val="single" w:color="auto" w:sz="2" w:space="0"/>
              <w:right w:val="single" w:color="auto" w:sz="2" w:space="0"/>
            </w:tcBorders>
            <w:vAlign w:val="center"/>
          </w:tcPr>
          <w:p w14:paraId="68D2060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411,675.66</w:t>
            </w:r>
          </w:p>
        </w:tc>
        <w:tc>
          <w:tcPr>
            <w:tcW w:w="1071" w:type="dxa"/>
            <w:tcBorders>
              <w:top w:val="single" w:color="auto" w:sz="2" w:space="0"/>
              <w:left w:val="single" w:color="auto" w:sz="2" w:space="0"/>
              <w:bottom w:val="single" w:color="auto" w:sz="2" w:space="0"/>
              <w:right w:val="single" w:color="auto" w:sz="2" w:space="0"/>
            </w:tcBorders>
            <w:vAlign w:val="center"/>
          </w:tcPr>
          <w:p w14:paraId="605C1BB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1B8366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BF376A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1CD70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411,675.66</w:t>
            </w:r>
          </w:p>
        </w:tc>
        <w:tc>
          <w:tcPr>
            <w:tcW w:w="1071" w:type="dxa"/>
            <w:tcBorders>
              <w:top w:val="single" w:color="auto" w:sz="2" w:space="0"/>
              <w:left w:val="single" w:color="auto" w:sz="2" w:space="0"/>
              <w:bottom w:val="single" w:color="auto" w:sz="2" w:space="0"/>
              <w:right w:val="single" w:color="auto" w:sz="2" w:space="0"/>
            </w:tcBorders>
            <w:vAlign w:val="center"/>
          </w:tcPr>
          <w:p w14:paraId="522AE5A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6A50F6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411,675.66</w:t>
            </w:r>
          </w:p>
        </w:tc>
        <w:tc>
          <w:tcPr>
            <w:tcW w:w="1071" w:type="dxa"/>
            <w:tcBorders>
              <w:top w:val="single" w:color="auto" w:sz="2" w:space="0"/>
              <w:left w:val="single" w:color="auto" w:sz="2" w:space="0"/>
              <w:bottom w:val="single" w:color="auto" w:sz="2" w:space="0"/>
              <w:right w:val="single" w:color="auto" w:sz="2" w:space="0"/>
            </w:tcBorders>
            <w:vAlign w:val="center"/>
          </w:tcPr>
          <w:p w14:paraId="0BBCE5CB">
            <w:pPr>
              <w:spacing w:before="0" w:after="0" w:line="240" w:lineRule="exact"/>
              <w:jc w:val="right"/>
              <w:rPr>
                <w:rFonts w:ascii="宋体" w:hAnsi="宋体" w:eastAsia="宋体" w:cs="宋体"/>
                <w:color w:val="auto"/>
                <w:sz w:val="18"/>
                <w:szCs w:val="18"/>
              </w:rPr>
            </w:pPr>
          </w:p>
        </w:tc>
      </w:tr>
      <w:tr w14:paraId="0071BC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0D35AA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乙肝病毒核心蛋白抑制剂（化药1类）</w:t>
            </w:r>
          </w:p>
        </w:tc>
        <w:tc>
          <w:tcPr>
            <w:tcW w:w="1071" w:type="dxa"/>
            <w:tcBorders>
              <w:top w:val="single" w:color="auto" w:sz="2" w:space="0"/>
              <w:left w:val="single" w:color="auto" w:sz="2" w:space="0"/>
              <w:bottom w:val="single" w:color="auto" w:sz="2" w:space="0"/>
              <w:right w:val="single" w:color="auto" w:sz="2" w:space="0"/>
            </w:tcBorders>
            <w:vAlign w:val="center"/>
          </w:tcPr>
          <w:p w14:paraId="0D00CDC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F47FA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1,114,315.11</w:t>
            </w:r>
          </w:p>
        </w:tc>
        <w:tc>
          <w:tcPr>
            <w:tcW w:w="1071" w:type="dxa"/>
            <w:tcBorders>
              <w:top w:val="single" w:color="auto" w:sz="2" w:space="0"/>
              <w:left w:val="single" w:color="auto" w:sz="2" w:space="0"/>
              <w:bottom w:val="single" w:color="auto" w:sz="2" w:space="0"/>
              <w:right w:val="single" w:color="auto" w:sz="2" w:space="0"/>
            </w:tcBorders>
            <w:vAlign w:val="center"/>
          </w:tcPr>
          <w:p w14:paraId="4A47FDC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D6148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1,114,315.11</w:t>
            </w:r>
          </w:p>
        </w:tc>
        <w:tc>
          <w:tcPr>
            <w:tcW w:w="1071" w:type="dxa"/>
            <w:tcBorders>
              <w:top w:val="single" w:color="auto" w:sz="2" w:space="0"/>
              <w:left w:val="single" w:color="auto" w:sz="2" w:space="0"/>
              <w:bottom w:val="single" w:color="auto" w:sz="2" w:space="0"/>
              <w:right w:val="single" w:color="auto" w:sz="2" w:space="0"/>
            </w:tcBorders>
            <w:vAlign w:val="center"/>
          </w:tcPr>
          <w:p w14:paraId="2DBED7D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898C2D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AA4A3B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A7F6B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1,114,315.11</w:t>
            </w:r>
          </w:p>
        </w:tc>
      </w:tr>
      <w:tr w14:paraId="41030A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F63DC5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38A4A12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5,838,485.17</w:t>
            </w:r>
          </w:p>
        </w:tc>
        <w:tc>
          <w:tcPr>
            <w:tcW w:w="1071" w:type="dxa"/>
            <w:tcBorders>
              <w:top w:val="single" w:color="auto" w:sz="2" w:space="0"/>
              <w:left w:val="single" w:color="auto" w:sz="2" w:space="0"/>
              <w:bottom w:val="single" w:color="auto" w:sz="2" w:space="0"/>
              <w:right w:val="single" w:color="auto" w:sz="2" w:space="0"/>
            </w:tcBorders>
            <w:vAlign w:val="center"/>
          </w:tcPr>
          <w:p w14:paraId="2C3FADD3">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rPr>
              <w:t>1,115,668.32</w:t>
            </w:r>
          </w:p>
        </w:tc>
        <w:tc>
          <w:tcPr>
            <w:tcW w:w="1071" w:type="dxa"/>
            <w:tcBorders>
              <w:top w:val="single" w:color="auto" w:sz="2" w:space="0"/>
              <w:left w:val="single" w:color="auto" w:sz="2" w:space="0"/>
              <w:bottom w:val="single" w:color="auto" w:sz="2" w:space="0"/>
              <w:right w:val="single" w:color="auto" w:sz="2" w:space="0"/>
            </w:tcBorders>
            <w:vAlign w:val="center"/>
          </w:tcPr>
          <w:p w14:paraId="52BC746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E01CDD5">
            <w:pPr>
              <w:spacing w:before="0" w:after="0" w:line="240" w:lineRule="exact"/>
              <w:jc w:val="right"/>
              <w:rPr>
                <w:rFonts w:ascii="宋体" w:hAnsi="宋体" w:eastAsia="宋体" w:cs="宋体"/>
                <w:color w:val="auto"/>
                <w:sz w:val="18"/>
                <w:szCs w:val="18"/>
              </w:rPr>
            </w:pPr>
            <w:r>
              <w:rPr>
                <w:rFonts w:hint="eastAsia" w:ascii="宋体" w:hAnsi="宋体" w:cs="宋体"/>
                <w:color w:val="auto"/>
                <w:sz w:val="18"/>
                <w:szCs w:val="18"/>
              </w:rPr>
              <w:t>1,115,668.32</w:t>
            </w:r>
          </w:p>
        </w:tc>
        <w:tc>
          <w:tcPr>
            <w:tcW w:w="1071" w:type="dxa"/>
            <w:tcBorders>
              <w:top w:val="single" w:color="auto" w:sz="2" w:space="0"/>
              <w:left w:val="single" w:color="auto" w:sz="2" w:space="0"/>
              <w:bottom w:val="single" w:color="auto" w:sz="2" w:space="0"/>
              <w:right w:val="single" w:color="auto" w:sz="2" w:space="0"/>
            </w:tcBorders>
            <w:vAlign w:val="center"/>
          </w:tcPr>
          <w:p w14:paraId="305EFB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5,839,838.38</w:t>
            </w:r>
          </w:p>
        </w:tc>
        <w:tc>
          <w:tcPr>
            <w:tcW w:w="1071" w:type="dxa"/>
            <w:tcBorders>
              <w:top w:val="single" w:color="auto" w:sz="2" w:space="0"/>
              <w:left w:val="single" w:color="auto" w:sz="2" w:space="0"/>
              <w:bottom w:val="single" w:color="auto" w:sz="2" w:space="0"/>
              <w:right w:val="single" w:color="auto" w:sz="2" w:space="0"/>
            </w:tcBorders>
            <w:vAlign w:val="center"/>
          </w:tcPr>
          <w:p w14:paraId="20278E0F">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DFF5BA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5,839,838.38</w:t>
            </w:r>
          </w:p>
        </w:tc>
        <w:tc>
          <w:tcPr>
            <w:tcW w:w="1071" w:type="dxa"/>
            <w:tcBorders>
              <w:top w:val="single" w:color="auto" w:sz="2" w:space="0"/>
              <w:left w:val="single" w:color="auto" w:sz="2" w:space="0"/>
              <w:bottom w:val="single" w:color="auto" w:sz="2" w:space="0"/>
              <w:right w:val="single" w:color="auto" w:sz="2" w:space="0"/>
            </w:tcBorders>
            <w:vAlign w:val="center"/>
          </w:tcPr>
          <w:p w14:paraId="47B5E8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1,114,315.11</w:t>
            </w:r>
          </w:p>
        </w:tc>
      </w:tr>
    </w:tbl>
    <w:p w14:paraId="43BA385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重要的资本化研发项目</w:t>
      </w:r>
    </w:p>
    <w:p w14:paraId="177D8B3D">
      <w:pPr>
        <w:spacing w:before="0" w:after="0" w:line="0" w:lineRule="exact"/>
        <w:jc w:val="left"/>
        <w:rPr>
          <w:color w:val="auto"/>
        </w:rPr>
      </w:pP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46D085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682BB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10ADBB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研发进度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776CF9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预计完成时间</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C1A5CB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预计经济利益产生方式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2A4260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开始资本化的时点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304B3F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开始资本化的具体依据</w:t>
            </w:r>
          </w:p>
        </w:tc>
      </w:tr>
    </w:tbl>
    <w:p w14:paraId="11E5217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开发支出减值准备</w:t>
      </w:r>
    </w:p>
    <w:p w14:paraId="617787C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13CDC3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B49788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E7178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AE62D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8393A9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本期减少</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D348F4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8F1C3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减值测试情况</w:t>
            </w:r>
          </w:p>
        </w:tc>
      </w:tr>
    </w:tbl>
    <w:p w14:paraId="71643FD2">
      <w:pPr>
        <w:keepNext/>
        <w:keepLines/>
        <w:spacing w:before="300" w:after="300" w:line="280" w:lineRule="exact"/>
        <w:jc w:val="left"/>
        <w:outlineLvl w:val="2"/>
        <w:rPr>
          <w:rFonts w:ascii="宋体" w:hAnsi="宋体" w:eastAsia="宋体" w:cs="宋体"/>
          <w:b/>
          <w:bCs/>
          <w:color w:val="auto"/>
          <w:sz w:val="21"/>
          <w:szCs w:val="21"/>
        </w:rPr>
      </w:pPr>
      <w:bookmarkStart w:id="307" w:name="_Toc989283"/>
      <w:r>
        <w:rPr>
          <w:rFonts w:ascii="宋体" w:hAnsi="宋体" w:eastAsia="宋体" w:cs="宋体"/>
          <w:b/>
          <w:bCs/>
          <w:color w:val="auto"/>
          <w:sz w:val="21"/>
          <w:szCs w:val="21"/>
        </w:rPr>
        <w:t>2、重要外购在研项目</w:t>
      </w:r>
      <w:bookmarkEnd w:id="307"/>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25EA4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6E5CE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项目名称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2BCBE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预期产生经济利益的方式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E116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资本化或费用化的判断标准和具体依据</w:t>
            </w:r>
          </w:p>
        </w:tc>
      </w:tr>
    </w:tbl>
    <w:p w14:paraId="01F3A4E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F3A362E">
      <w:pPr>
        <w:keepNext/>
        <w:keepLines/>
        <w:spacing w:before="300" w:after="300" w:line="320" w:lineRule="exact"/>
        <w:jc w:val="left"/>
        <w:outlineLvl w:val="1"/>
        <w:rPr>
          <w:rFonts w:ascii="宋体" w:hAnsi="宋体" w:eastAsia="宋体" w:cs="宋体"/>
          <w:b/>
          <w:bCs/>
          <w:color w:val="auto"/>
          <w:sz w:val="24"/>
          <w:szCs w:val="24"/>
        </w:rPr>
      </w:pPr>
      <w:bookmarkStart w:id="308" w:name="_Toc989284"/>
      <w:r>
        <w:rPr>
          <w:rFonts w:ascii="宋体" w:hAnsi="宋体" w:eastAsia="宋体" w:cs="宋体"/>
          <w:b/>
          <w:bCs/>
          <w:color w:val="auto"/>
          <w:sz w:val="24"/>
          <w:szCs w:val="24"/>
        </w:rPr>
        <w:t>九、合并范围的变更</w:t>
      </w:r>
      <w:bookmarkEnd w:id="308"/>
    </w:p>
    <w:p w14:paraId="0E8B5CB1">
      <w:pPr>
        <w:keepNext/>
        <w:keepLines/>
        <w:spacing w:before="300" w:after="300" w:line="280" w:lineRule="exact"/>
        <w:jc w:val="left"/>
        <w:outlineLvl w:val="2"/>
        <w:rPr>
          <w:rFonts w:ascii="宋体" w:hAnsi="宋体" w:eastAsia="宋体" w:cs="宋体"/>
          <w:b/>
          <w:bCs/>
          <w:color w:val="auto"/>
          <w:sz w:val="21"/>
          <w:szCs w:val="21"/>
        </w:rPr>
      </w:pPr>
      <w:bookmarkStart w:id="309" w:name="_Toc989285"/>
      <w:r>
        <w:rPr>
          <w:rFonts w:ascii="宋体" w:hAnsi="宋体" w:eastAsia="宋体" w:cs="宋体"/>
          <w:b/>
          <w:bCs/>
          <w:color w:val="auto"/>
          <w:sz w:val="21"/>
          <w:szCs w:val="21"/>
        </w:rPr>
        <w:t>1、非同一控制下企业合并</w:t>
      </w:r>
      <w:bookmarkEnd w:id="309"/>
    </w:p>
    <w:p w14:paraId="4DB85F05">
      <w:pPr>
        <w:keepNext/>
        <w:keepLines/>
        <w:spacing w:before="300" w:after="300" w:line="280" w:lineRule="exact"/>
        <w:jc w:val="left"/>
        <w:outlineLvl w:val="3"/>
        <w:rPr>
          <w:rFonts w:ascii="宋体" w:hAnsi="宋体" w:eastAsia="宋体" w:cs="宋体"/>
          <w:b/>
          <w:bCs/>
          <w:color w:val="auto"/>
          <w:sz w:val="18"/>
          <w:szCs w:val="18"/>
        </w:rPr>
      </w:pPr>
      <w:bookmarkStart w:id="310" w:name="_Toc989286"/>
      <w:r>
        <w:rPr>
          <w:rFonts w:ascii="宋体" w:hAnsi="宋体" w:eastAsia="宋体" w:cs="宋体"/>
          <w:b/>
          <w:bCs/>
          <w:color w:val="auto"/>
          <w:sz w:val="18"/>
          <w:szCs w:val="18"/>
        </w:rPr>
        <w:t>（1）本期发生的非同一控制下企业合并</w:t>
      </w:r>
      <w:bookmarkEnd w:id="310"/>
    </w:p>
    <w:p w14:paraId="1C8D445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4"/>
        <w:gridCol w:w="964"/>
        <w:gridCol w:w="964"/>
        <w:gridCol w:w="964"/>
        <w:gridCol w:w="964"/>
        <w:gridCol w:w="964"/>
        <w:gridCol w:w="964"/>
        <w:gridCol w:w="964"/>
        <w:gridCol w:w="964"/>
        <w:gridCol w:w="964"/>
      </w:tblGrid>
      <w:tr w14:paraId="7DDD52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127BB7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被购买方名称</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7B3F02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股权取得时点</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89F580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股权取得成本</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C64708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股权取得比例</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7675A72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股权取得方式</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323003B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购买日</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0EA01EE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购买日的确定依据</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4DFF992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购买日至期末被购买方的收入</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65BC11D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购买日至期末被购买方的净利润</w:t>
            </w:r>
          </w:p>
        </w:tc>
        <w:tc>
          <w:tcPr>
            <w:tcW w:w="964" w:type="dxa"/>
            <w:tcBorders>
              <w:top w:val="single" w:color="auto" w:sz="2" w:space="0"/>
              <w:left w:val="single" w:color="auto" w:sz="2" w:space="0"/>
              <w:bottom w:val="single" w:color="auto" w:sz="2" w:space="0"/>
              <w:right w:val="single" w:color="auto" w:sz="2" w:space="0"/>
            </w:tcBorders>
            <w:shd w:val="clear" w:color="auto" w:fill="D3D3D3"/>
            <w:vAlign w:val="center"/>
          </w:tcPr>
          <w:p w14:paraId="1531C28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购买日至期末被购买方的现金流</w:t>
            </w:r>
          </w:p>
        </w:tc>
      </w:tr>
    </w:tbl>
    <w:p w14:paraId="6DA87E0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0A9AEB4">
      <w:pPr>
        <w:keepNext/>
        <w:keepLines/>
        <w:spacing w:before="300" w:after="300" w:line="280" w:lineRule="exact"/>
        <w:jc w:val="left"/>
        <w:outlineLvl w:val="3"/>
        <w:rPr>
          <w:rFonts w:ascii="宋体" w:hAnsi="宋体" w:eastAsia="宋体" w:cs="宋体"/>
          <w:b/>
          <w:bCs/>
          <w:color w:val="auto"/>
          <w:sz w:val="18"/>
          <w:szCs w:val="18"/>
        </w:rPr>
      </w:pPr>
      <w:bookmarkStart w:id="311" w:name="_Toc989287"/>
      <w:r>
        <w:rPr>
          <w:rFonts w:ascii="宋体" w:hAnsi="宋体" w:eastAsia="宋体" w:cs="宋体"/>
          <w:b/>
          <w:bCs/>
          <w:color w:val="auto"/>
          <w:sz w:val="18"/>
          <w:szCs w:val="18"/>
        </w:rPr>
        <w:t>（2）合并成本及商誉</w:t>
      </w:r>
      <w:bookmarkEnd w:id="311"/>
    </w:p>
    <w:p w14:paraId="04DC439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2313F6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453DCD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合并成本</w:t>
            </w:r>
          </w:p>
        </w:tc>
        <w:tc>
          <w:tcPr>
            <w:tcW w:w="4820" w:type="dxa"/>
            <w:tcBorders>
              <w:top w:val="single" w:color="auto" w:sz="2" w:space="0"/>
              <w:left w:val="single" w:color="auto" w:sz="2" w:space="0"/>
              <w:bottom w:val="single" w:color="auto" w:sz="2" w:space="0"/>
              <w:right w:val="single" w:color="auto" w:sz="2" w:space="0"/>
            </w:tcBorders>
            <w:vAlign w:val="center"/>
          </w:tcPr>
          <w:p w14:paraId="48C2C15F">
            <w:pPr>
              <w:spacing w:before="0" w:after="0" w:line="240" w:lineRule="exact"/>
              <w:jc w:val="center"/>
              <w:rPr>
                <w:rFonts w:ascii="宋体" w:hAnsi="宋体" w:eastAsia="宋体" w:cs="宋体"/>
                <w:color w:val="auto"/>
                <w:sz w:val="18"/>
                <w:szCs w:val="18"/>
              </w:rPr>
            </w:pPr>
          </w:p>
        </w:tc>
      </w:tr>
      <w:tr w14:paraId="528349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D8B74E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--现金</w:t>
            </w:r>
          </w:p>
        </w:tc>
        <w:tc>
          <w:tcPr>
            <w:tcW w:w="4820" w:type="dxa"/>
            <w:tcBorders>
              <w:top w:val="single" w:color="auto" w:sz="2" w:space="0"/>
              <w:left w:val="single" w:color="auto" w:sz="2" w:space="0"/>
              <w:bottom w:val="single" w:color="auto" w:sz="2" w:space="0"/>
              <w:right w:val="single" w:color="auto" w:sz="2" w:space="0"/>
            </w:tcBorders>
            <w:vAlign w:val="center"/>
          </w:tcPr>
          <w:p w14:paraId="65C10724">
            <w:pPr>
              <w:spacing w:before="0" w:after="0" w:line="240" w:lineRule="exact"/>
              <w:jc w:val="right"/>
              <w:rPr>
                <w:rFonts w:ascii="宋体" w:hAnsi="宋体" w:eastAsia="宋体" w:cs="宋体"/>
                <w:color w:val="auto"/>
                <w:sz w:val="18"/>
                <w:szCs w:val="18"/>
              </w:rPr>
            </w:pPr>
          </w:p>
        </w:tc>
      </w:tr>
      <w:tr w14:paraId="6999F6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526FC6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--非现金资产的公允价值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241B87A6">
            <w:pPr>
              <w:spacing w:before="0" w:after="0" w:line="240" w:lineRule="exact"/>
              <w:jc w:val="right"/>
              <w:rPr>
                <w:rFonts w:ascii="宋体" w:hAnsi="宋体" w:eastAsia="宋体" w:cs="宋体"/>
                <w:color w:val="auto"/>
                <w:sz w:val="18"/>
                <w:szCs w:val="18"/>
              </w:rPr>
            </w:pPr>
          </w:p>
        </w:tc>
      </w:tr>
      <w:tr w14:paraId="13F9C4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9298F2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--发行或承担的债务的公允价值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06564EA8">
            <w:pPr>
              <w:spacing w:before="0" w:after="0" w:line="240" w:lineRule="exact"/>
              <w:jc w:val="right"/>
              <w:rPr>
                <w:rFonts w:ascii="宋体" w:hAnsi="宋体" w:eastAsia="宋体" w:cs="宋体"/>
                <w:color w:val="auto"/>
                <w:sz w:val="18"/>
                <w:szCs w:val="18"/>
              </w:rPr>
            </w:pPr>
          </w:p>
        </w:tc>
      </w:tr>
      <w:tr w14:paraId="4CA595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A9AF3D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--发行的权益性证券的公允价值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2E5CD1BD">
            <w:pPr>
              <w:spacing w:before="0" w:after="0" w:line="240" w:lineRule="exact"/>
              <w:jc w:val="right"/>
              <w:rPr>
                <w:rFonts w:ascii="宋体" w:hAnsi="宋体" w:eastAsia="宋体" w:cs="宋体"/>
                <w:color w:val="auto"/>
                <w:sz w:val="18"/>
                <w:szCs w:val="18"/>
              </w:rPr>
            </w:pPr>
          </w:p>
        </w:tc>
      </w:tr>
      <w:tr w14:paraId="1F3589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20B596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--或有对价的公允价值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7EFB9FF0">
            <w:pPr>
              <w:spacing w:before="0" w:after="0" w:line="240" w:lineRule="exact"/>
              <w:jc w:val="right"/>
              <w:rPr>
                <w:rFonts w:ascii="宋体" w:hAnsi="宋体" w:eastAsia="宋体" w:cs="宋体"/>
                <w:color w:val="auto"/>
                <w:sz w:val="18"/>
                <w:szCs w:val="18"/>
              </w:rPr>
            </w:pPr>
          </w:p>
        </w:tc>
      </w:tr>
      <w:tr w14:paraId="5F7739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C066B3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--购买日之前持有的股权于购买日的公允价值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4EDEFEA7">
            <w:pPr>
              <w:spacing w:before="0" w:after="0" w:line="240" w:lineRule="exact"/>
              <w:jc w:val="right"/>
              <w:rPr>
                <w:rFonts w:ascii="宋体" w:hAnsi="宋体" w:eastAsia="宋体" w:cs="宋体"/>
                <w:color w:val="auto"/>
                <w:sz w:val="18"/>
                <w:szCs w:val="18"/>
              </w:rPr>
            </w:pPr>
          </w:p>
        </w:tc>
      </w:tr>
      <w:tr w14:paraId="3C689E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EEDA71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4820" w:type="dxa"/>
            <w:tcBorders>
              <w:top w:val="single" w:color="auto" w:sz="2" w:space="0"/>
              <w:left w:val="single" w:color="auto" w:sz="2" w:space="0"/>
              <w:bottom w:val="single" w:color="auto" w:sz="2" w:space="0"/>
              <w:right w:val="single" w:color="auto" w:sz="2" w:space="0"/>
            </w:tcBorders>
            <w:vAlign w:val="center"/>
          </w:tcPr>
          <w:p w14:paraId="55E693E5">
            <w:pPr>
              <w:spacing w:before="0" w:after="0" w:line="240" w:lineRule="exact"/>
              <w:jc w:val="right"/>
              <w:rPr>
                <w:rFonts w:ascii="宋体" w:hAnsi="宋体" w:eastAsia="宋体" w:cs="宋体"/>
                <w:color w:val="auto"/>
                <w:sz w:val="18"/>
                <w:szCs w:val="18"/>
              </w:rPr>
            </w:pPr>
          </w:p>
        </w:tc>
      </w:tr>
      <w:tr w14:paraId="50593D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F0D820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合并成本合计</w:t>
            </w:r>
          </w:p>
        </w:tc>
        <w:tc>
          <w:tcPr>
            <w:tcW w:w="4820" w:type="dxa"/>
            <w:tcBorders>
              <w:top w:val="single" w:color="auto" w:sz="2" w:space="0"/>
              <w:left w:val="single" w:color="auto" w:sz="2" w:space="0"/>
              <w:bottom w:val="single" w:color="auto" w:sz="2" w:space="0"/>
              <w:right w:val="single" w:color="auto" w:sz="2" w:space="0"/>
            </w:tcBorders>
            <w:vAlign w:val="center"/>
          </w:tcPr>
          <w:p w14:paraId="283A2968">
            <w:pPr>
              <w:spacing w:before="0" w:after="0" w:line="240" w:lineRule="exact"/>
              <w:jc w:val="right"/>
              <w:rPr>
                <w:rFonts w:ascii="宋体" w:hAnsi="宋体" w:eastAsia="宋体" w:cs="宋体"/>
                <w:color w:val="auto"/>
                <w:sz w:val="18"/>
                <w:szCs w:val="18"/>
              </w:rPr>
            </w:pPr>
          </w:p>
        </w:tc>
      </w:tr>
      <w:tr w14:paraId="56FD1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06C075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减：取得的可辨认净资产公允价值份额</w:t>
            </w:r>
          </w:p>
        </w:tc>
        <w:tc>
          <w:tcPr>
            <w:tcW w:w="4820" w:type="dxa"/>
            <w:tcBorders>
              <w:top w:val="single" w:color="auto" w:sz="2" w:space="0"/>
              <w:left w:val="single" w:color="auto" w:sz="2" w:space="0"/>
              <w:bottom w:val="single" w:color="auto" w:sz="2" w:space="0"/>
              <w:right w:val="single" w:color="auto" w:sz="2" w:space="0"/>
            </w:tcBorders>
            <w:vAlign w:val="center"/>
          </w:tcPr>
          <w:p w14:paraId="72015950">
            <w:pPr>
              <w:spacing w:before="0" w:after="0" w:line="240" w:lineRule="exact"/>
              <w:jc w:val="right"/>
              <w:rPr>
                <w:rFonts w:ascii="宋体" w:hAnsi="宋体" w:eastAsia="宋体" w:cs="宋体"/>
                <w:color w:val="auto"/>
                <w:sz w:val="18"/>
                <w:szCs w:val="18"/>
              </w:rPr>
            </w:pPr>
          </w:p>
        </w:tc>
      </w:tr>
      <w:tr w14:paraId="5F085C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12B8A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商誉/合并成本小于取得的可辨认净资产公允价值份额的金额</w:t>
            </w:r>
          </w:p>
        </w:tc>
        <w:tc>
          <w:tcPr>
            <w:tcW w:w="4820" w:type="dxa"/>
            <w:tcBorders>
              <w:top w:val="single" w:color="auto" w:sz="2" w:space="0"/>
              <w:left w:val="single" w:color="auto" w:sz="2" w:space="0"/>
              <w:bottom w:val="single" w:color="auto" w:sz="2" w:space="0"/>
              <w:right w:val="single" w:color="auto" w:sz="2" w:space="0"/>
            </w:tcBorders>
            <w:vAlign w:val="center"/>
          </w:tcPr>
          <w:p w14:paraId="29D77DE7">
            <w:pPr>
              <w:spacing w:before="0" w:after="0" w:line="240" w:lineRule="exact"/>
              <w:jc w:val="right"/>
              <w:rPr>
                <w:rFonts w:ascii="宋体" w:hAnsi="宋体" w:eastAsia="宋体" w:cs="宋体"/>
                <w:color w:val="auto"/>
                <w:sz w:val="18"/>
                <w:szCs w:val="18"/>
              </w:rPr>
            </w:pPr>
          </w:p>
        </w:tc>
      </w:tr>
    </w:tbl>
    <w:p w14:paraId="22E2BE8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合并成本公允价值的确定方法：</w:t>
      </w:r>
    </w:p>
    <w:p w14:paraId="6E17F1E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或有对价及其变动的说明</w:t>
      </w:r>
    </w:p>
    <w:p w14:paraId="52CE84D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大额商誉形成的主要原因：</w:t>
      </w:r>
    </w:p>
    <w:p w14:paraId="68B388C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35F56632">
      <w:pPr>
        <w:keepNext/>
        <w:keepLines/>
        <w:spacing w:before="300" w:after="300" w:line="280" w:lineRule="exact"/>
        <w:jc w:val="left"/>
        <w:outlineLvl w:val="3"/>
        <w:rPr>
          <w:rFonts w:ascii="宋体" w:hAnsi="宋体" w:eastAsia="宋体" w:cs="宋体"/>
          <w:b/>
          <w:bCs/>
          <w:color w:val="auto"/>
          <w:sz w:val="18"/>
          <w:szCs w:val="18"/>
        </w:rPr>
      </w:pPr>
      <w:bookmarkStart w:id="312" w:name="_Toc989288"/>
      <w:r>
        <w:rPr>
          <w:rFonts w:ascii="宋体" w:hAnsi="宋体" w:eastAsia="宋体" w:cs="宋体"/>
          <w:b/>
          <w:bCs/>
          <w:color w:val="auto"/>
          <w:sz w:val="18"/>
          <w:szCs w:val="18"/>
        </w:rPr>
        <w:t>（3）被购买方于购买日可辨认资产、负债</w:t>
      </w:r>
      <w:bookmarkEnd w:id="312"/>
    </w:p>
    <w:p w14:paraId="56633AE2">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F7034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FBA87F8">
            <w:pPr>
              <w:rPr>
                <w:color w:val="auto"/>
              </w:rPr>
            </w:pP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0D9088BF">
            <w:pPr>
              <w:spacing w:before="0" w:after="0" w:line="240" w:lineRule="exact"/>
              <w:jc w:val="center"/>
              <w:rPr>
                <w:rFonts w:ascii="宋体" w:hAnsi="宋体" w:eastAsia="宋体" w:cs="宋体"/>
                <w:color w:val="auto"/>
                <w:sz w:val="18"/>
                <w:szCs w:val="18"/>
              </w:rPr>
            </w:pPr>
          </w:p>
        </w:tc>
      </w:tr>
      <w:tr w14:paraId="0570E4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25BBEB5">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0D0E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购买日公允价值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842B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购买日账面价值</w:t>
            </w:r>
          </w:p>
        </w:tc>
      </w:tr>
      <w:tr w14:paraId="679F88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A2CFC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资产：</w:t>
            </w:r>
          </w:p>
        </w:tc>
        <w:tc>
          <w:tcPr>
            <w:tcW w:w="3213" w:type="dxa"/>
            <w:tcBorders>
              <w:top w:val="single" w:color="auto" w:sz="2" w:space="0"/>
              <w:left w:val="single" w:color="auto" w:sz="2" w:space="0"/>
              <w:bottom w:val="single" w:color="auto" w:sz="2" w:space="0"/>
              <w:right w:val="single" w:color="auto" w:sz="2" w:space="0"/>
            </w:tcBorders>
            <w:vAlign w:val="center"/>
          </w:tcPr>
          <w:p w14:paraId="53F2145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59EB72E">
            <w:pPr>
              <w:spacing w:before="0" w:after="0" w:line="240" w:lineRule="exact"/>
              <w:jc w:val="right"/>
              <w:rPr>
                <w:rFonts w:ascii="宋体" w:hAnsi="宋体" w:eastAsia="宋体" w:cs="宋体"/>
                <w:color w:val="auto"/>
                <w:sz w:val="18"/>
                <w:szCs w:val="18"/>
              </w:rPr>
            </w:pPr>
          </w:p>
        </w:tc>
      </w:tr>
      <w:tr w14:paraId="5B7FA5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4BE03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3FE37AA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A6116E5">
            <w:pPr>
              <w:spacing w:before="0" w:after="0" w:line="240" w:lineRule="exact"/>
              <w:jc w:val="right"/>
              <w:rPr>
                <w:rFonts w:ascii="宋体" w:hAnsi="宋体" w:eastAsia="宋体" w:cs="宋体"/>
                <w:color w:val="auto"/>
                <w:sz w:val="18"/>
                <w:szCs w:val="18"/>
              </w:rPr>
            </w:pPr>
          </w:p>
        </w:tc>
      </w:tr>
      <w:tr w14:paraId="2981EC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D08CB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应收款项</w:t>
            </w:r>
          </w:p>
        </w:tc>
        <w:tc>
          <w:tcPr>
            <w:tcW w:w="3213" w:type="dxa"/>
            <w:tcBorders>
              <w:top w:val="single" w:color="auto" w:sz="2" w:space="0"/>
              <w:left w:val="single" w:color="auto" w:sz="2" w:space="0"/>
              <w:bottom w:val="single" w:color="auto" w:sz="2" w:space="0"/>
              <w:right w:val="single" w:color="auto" w:sz="2" w:space="0"/>
            </w:tcBorders>
            <w:vAlign w:val="center"/>
          </w:tcPr>
          <w:p w14:paraId="3781219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1899BF9">
            <w:pPr>
              <w:spacing w:before="0" w:after="0" w:line="240" w:lineRule="exact"/>
              <w:jc w:val="right"/>
              <w:rPr>
                <w:rFonts w:ascii="宋体" w:hAnsi="宋体" w:eastAsia="宋体" w:cs="宋体"/>
                <w:color w:val="auto"/>
                <w:sz w:val="18"/>
                <w:szCs w:val="18"/>
              </w:rPr>
            </w:pPr>
          </w:p>
        </w:tc>
      </w:tr>
      <w:tr w14:paraId="0E5A25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E7D79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01D7F5D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4BE532A">
            <w:pPr>
              <w:spacing w:before="0" w:after="0" w:line="240" w:lineRule="exact"/>
              <w:jc w:val="right"/>
              <w:rPr>
                <w:rFonts w:ascii="宋体" w:hAnsi="宋体" w:eastAsia="宋体" w:cs="宋体"/>
                <w:color w:val="auto"/>
                <w:sz w:val="18"/>
                <w:szCs w:val="18"/>
              </w:rPr>
            </w:pPr>
          </w:p>
        </w:tc>
      </w:tr>
      <w:tr w14:paraId="1D03D4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8C185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6ABE321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285FF30">
            <w:pPr>
              <w:spacing w:before="0" w:after="0" w:line="240" w:lineRule="exact"/>
              <w:jc w:val="right"/>
              <w:rPr>
                <w:rFonts w:ascii="宋体" w:hAnsi="宋体" w:eastAsia="宋体" w:cs="宋体"/>
                <w:color w:val="auto"/>
                <w:sz w:val="18"/>
                <w:szCs w:val="18"/>
              </w:rPr>
            </w:pPr>
          </w:p>
        </w:tc>
      </w:tr>
      <w:tr w14:paraId="3A3584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06CE1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64ABDB6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7676A27">
            <w:pPr>
              <w:spacing w:before="0" w:after="0" w:line="240" w:lineRule="exact"/>
              <w:jc w:val="right"/>
              <w:rPr>
                <w:rFonts w:ascii="宋体" w:hAnsi="宋体" w:eastAsia="宋体" w:cs="宋体"/>
                <w:color w:val="auto"/>
                <w:sz w:val="18"/>
                <w:szCs w:val="18"/>
              </w:rPr>
            </w:pPr>
          </w:p>
        </w:tc>
      </w:tr>
      <w:tr w14:paraId="1DFAB1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2F03AC6">
            <w:pPr>
              <w:spacing w:before="0" w:after="0" w:line="240" w:lineRule="exact"/>
              <w:jc w:val="lef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FE8A1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AF5985A">
            <w:pPr>
              <w:spacing w:before="0" w:after="0" w:line="240" w:lineRule="exact"/>
              <w:jc w:val="right"/>
              <w:rPr>
                <w:rFonts w:ascii="宋体" w:hAnsi="宋体" w:eastAsia="宋体" w:cs="宋体"/>
                <w:color w:val="auto"/>
                <w:sz w:val="18"/>
                <w:szCs w:val="18"/>
              </w:rPr>
            </w:pPr>
          </w:p>
        </w:tc>
      </w:tr>
      <w:tr w14:paraId="51EBC4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01354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负债：</w:t>
            </w:r>
          </w:p>
        </w:tc>
        <w:tc>
          <w:tcPr>
            <w:tcW w:w="3213" w:type="dxa"/>
            <w:tcBorders>
              <w:top w:val="single" w:color="auto" w:sz="2" w:space="0"/>
              <w:left w:val="single" w:color="auto" w:sz="2" w:space="0"/>
              <w:bottom w:val="single" w:color="auto" w:sz="2" w:space="0"/>
              <w:right w:val="single" w:color="auto" w:sz="2" w:space="0"/>
            </w:tcBorders>
            <w:vAlign w:val="center"/>
          </w:tcPr>
          <w:p w14:paraId="708F3AC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F516B0">
            <w:pPr>
              <w:spacing w:before="0" w:after="0" w:line="240" w:lineRule="exact"/>
              <w:jc w:val="right"/>
              <w:rPr>
                <w:rFonts w:ascii="宋体" w:hAnsi="宋体" w:eastAsia="宋体" w:cs="宋体"/>
                <w:color w:val="auto"/>
                <w:sz w:val="18"/>
                <w:szCs w:val="18"/>
              </w:rPr>
            </w:pPr>
          </w:p>
        </w:tc>
      </w:tr>
      <w:tr w14:paraId="442049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452A3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借款</w:t>
            </w:r>
          </w:p>
        </w:tc>
        <w:tc>
          <w:tcPr>
            <w:tcW w:w="3213" w:type="dxa"/>
            <w:tcBorders>
              <w:top w:val="single" w:color="auto" w:sz="2" w:space="0"/>
              <w:left w:val="single" w:color="auto" w:sz="2" w:space="0"/>
              <w:bottom w:val="single" w:color="auto" w:sz="2" w:space="0"/>
              <w:right w:val="single" w:color="auto" w:sz="2" w:space="0"/>
            </w:tcBorders>
            <w:vAlign w:val="center"/>
          </w:tcPr>
          <w:p w14:paraId="4F5AAC8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3C8413B">
            <w:pPr>
              <w:spacing w:before="0" w:after="0" w:line="240" w:lineRule="exact"/>
              <w:jc w:val="right"/>
              <w:rPr>
                <w:rFonts w:ascii="宋体" w:hAnsi="宋体" w:eastAsia="宋体" w:cs="宋体"/>
                <w:color w:val="auto"/>
                <w:sz w:val="18"/>
                <w:szCs w:val="18"/>
              </w:rPr>
            </w:pPr>
          </w:p>
        </w:tc>
      </w:tr>
      <w:tr w14:paraId="778D21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DE8DB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应付款项</w:t>
            </w:r>
          </w:p>
        </w:tc>
        <w:tc>
          <w:tcPr>
            <w:tcW w:w="3213" w:type="dxa"/>
            <w:tcBorders>
              <w:top w:val="single" w:color="auto" w:sz="2" w:space="0"/>
              <w:left w:val="single" w:color="auto" w:sz="2" w:space="0"/>
              <w:bottom w:val="single" w:color="auto" w:sz="2" w:space="0"/>
              <w:right w:val="single" w:color="auto" w:sz="2" w:space="0"/>
            </w:tcBorders>
            <w:vAlign w:val="center"/>
          </w:tcPr>
          <w:p w14:paraId="1ED1711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6D3FF8B">
            <w:pPr>
              <w:spacing w:before="0" w:after="0" w:line="240" w:lineRule="exact"/>
              <w:jc w:val="right"/>
              <w:rPr>
                <w:rFonts w:ascii="宋体" w:hAnsi="宋体" w:eastAsia="宋体" w:cs="宋体"/>
                <w:color w:val="auto"/>
                <w:sz w:val="18"/>
                <w:szCs w:val="18"/>
              </w:rPr>
            </w:pPr>
          </w:p>
        </w:tc>
      </w:tr>
      <w:tr w14:paraId="28C704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416C1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356F248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64C545">
            <w:pPr>
              <w:spacing w:before="0" w:after="0" w:line="240" w:lineRule="exact"/>
              <w:jc w:val="right"/>
              <w:rPr>
                <w:rFonts w:ascii="宋体" w:hAnsi="宋体" w:eastAsia="宋体" w:cs="宋体"/>
                <w:color w:val="auto"/>
                <w:sz w:val="18"/>
                <w:szCs w:val="18"/>
              </w:rPr>
            </w:pPr>
          </w:p>
        </w:tc>
      </w:tr>
      <w:tr w14:paraId="3CA070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D62AC96">
            <w:pPr>
              <w:spacing w:before="0" w:after="0" w:line="240" w:lineRule="exact"/>
              <w:jc w:val="lef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238A7A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E96D1B">
            <w:pPr>
              <w:spacing w:before="0" w:after="0" w:line="240" w:lineRule="exact"/>
              <w:jc w:val="right"/>
              <w:rPr>
                <w:rFonts w:ascii="宋体" w:hAnsi="宋体" w:eastAsia="宋体" w:cs="宋体"/>
                <w:color w:val="auto"/>
                <w:sz w:val="18"/>
                <w:szCs w:val="18"/>
              </w:rPr>
            </w:pPr>
          </w:p>
        </w:tc>
      </w:tr>
      <w:tr w14:paraId="69A5AD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6022C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净资产</w:t>
            </w:r>
          </w:p>
        </w:tc>
        <w:tc>
          <w:tcPr>
            <w:tcW w:w="3213" w:type="dxa"/>
            <w:tcBorders>
              <w:top w:val="single" w:color="auto" w:sz="2" w:space="0"/>
              <w:left w:val="single" w:color="auto" w:sz="2" w:space="0"/>
              <w:bottom w:val="single" w:color="auto" w:sz="2" w:space="0"/>
              <w:right w:val="single" w:color="auto" w:sz="2" w:space="0"/>
            </w:tcBorders>
            <w:vAlign w:val="center"/>
          </w:tcPr>
          <w:p w14:paraId="564158F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50CF919">
            <w:pPr>
              <w:spacing w:before="0" w:after="0" w:line="240" w:lineRule="exact"/>
              <w:jc w:val="right"/>
              <w:rPr>
                <w:rFonts w:ascii="宋体" w:hAnsi="宋体" w:eastAsia="宋体" w:cs="宋体"/>
                <w:color w:val="auto"/>
                <w:sz w:val="18"/>
                <w:szCs w:val="18"/>
              </w:rPr>
            </w:pPr>
          </w:p>
        </w:tc>
      </w:tr>
      <w:tr w14:paraId="4AAB0F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3D441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减：少数股东权益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1B9B502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9017616">
            <w:pPr>
              <w:spacing w:before="0" w:after="0" w:line="240" w:lineRule="exact"/>
              <w:jc w:val="right"/>
              <w:rPr>
                <w:rFonts w:ascii="宋体" w:hAnsi="宋体" w:eastAsia="宋体" w:cs="宋体"/>
                <w:color w:val="auto"/>
                <w:sz w:val="18"/>
                <w:szCs w:val="18"/>
              </w:rPr>
            </w:pPr>
          </w:p>
        </w:tc>
      </w:tr>
      <w:tr w14:paraId="2E7F10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DA317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取得的净资产</w:t>
            </w:r>
          </w:p>
        </w:tc>
        <w:tc>
          <w:tcPr>
            <w:tcW w:w="3213" w:type="dxa"/>
            <w:tcBorders>
              <w:top w:val="single" w:color="auto" w:sz="2" w:space="0"/>
              <w:left w:val="single" w:color="auto" w:sz="2" w:space="0"/>
              <w:bottom w:val="single" w:color="auto" w:sz="2" w:space="0"/>
              <w:right w:val="single" w:color="auto" w:sz="2" w:space="0"/>
            </w:tcBorders>
            <w:vAlign w:val="center"/>
          </w:tcPr>
          <w:p w14:paraId="3A5F521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78C5C9">
            <w:pPr>
              <w:spacing w:before="0" w:after="0" w:line="240" w:lineRule="exact"/>
              <w:jc w:val="right"/>
              <w:rPr>
                <w:rFonts w:ascii="宋体" w:hAnsi="宋体" w:eastAsia="宋体" w:cs="宋体"/>
                <w:color w:val="auto"/>
                <w:sz w:val="18"/>
                <w:szCs w:val="18"/>
              </w:rPr>
            </w:pPr>
          </w:p>
        </w:tc>
      </w:tr>
    </w:tbl>
    <w:p w14:paraId="68FE7DF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可辨认资产、负债公允价值的确定方法：</w:t>
      </w:r>
    </w:p>
    <w:p w14:paraId="4A2D8B1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企业合并中承担的被购买方的或有负债：</w:t>
      </w:r>
    </w:p>
    <w:p w14:paraId="34D15E7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81B87EA">
      <w:pPr>
        <w:keepNext/>
        <w:keepLines/>
        <w:spacing w:before="300" w:after="300" w:line="280" w:lineRule="exact"/>
        <w:jc w:val="left"/>
        <w:outlineLvl w:val="3"/>
        <w:rPr>
          <w:rFonts w:ascii="宋体" w:hAnsi="宋体" w:eastAsia="宋体" w:cs="宋体"/>
          <w:b/>
          <w:bCs/>
          <w:color w:val="auto"/>
          <w:sz w:val="18"/>
          <w:szCs w:val="18"/>
        </w:rPr>
      </w:pPr>
      <w:bookmarkStart w:id="313" w:name="_Toc989289"/>
      <w:r>
        <w:rPr>
          <w:rFonts w:ascii="宋体" w:hAnsi="宋体" w:eastAsia="宋体" w:cs="宋体"/>
          <w:b/>
          <w:bCs/>
          <w:color w:val="auto"/>
          <w:sz w:val="18"/>
          <w:szCs w:val="18"/>
        </w:rPr>
        <w:t>（4）购买日之前持有的股权按照公允价值重新计量产生的利得或损失</w:t>
      </w:r>
      <w:bookmarkEnd w:id="313"/>
    </w:p>
    <w:p w14:paraId="3A50ED5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是否存在通过多次交易分步实现企业合并且在报告期内取得控制权的交易</w:t>
      </w:r>
    </w:p>
    <w:p w14:paraId="5818ED3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□是</w:t>
      </w:r>
      <w:r>
        <w:rPr>
          <w:rFonts w:ascii="宋体" w:hAnsi="宋体" w:eastAsia="宋体" w:cs="宋体"/>
          <w:color w:val="auto"/>
          <w:sz w:val="18"/>
          <w:szCs w:val="18"/>
        </w:rPr>
        <w:sym w:font="Wingdings 2" w:char="F052"/>
      </w:r>
      <w:r>
        <w:rPr>
          <w:rFonts w:ascii="宋体" w:hAnsi="宋体" w:eastAsia="宋体" w:cs="宋体"/>
          <w:color w:val="auto"/>
          <w:sz w:val="18"/>
          <w:szCs w:val="18"/>
        </w:rPr>
        <w:t>否</w:t>
      </w:r>
    </w:p>
    <w:p w14:paraId="1C32F469">
      <w:pPr>
        <w:keepNext/>
        <w:keepLines/>
        <w:spacing w:before="300" w:after="300" w:line="280" w:lineRule="exact"/>
        <w:jc w:val="left"/>
        <w:outlineLvl w:val="3"/>
        <w:rPr>
          <w:rFonts w:ascii="宋体" w:hAnsi="宋体" w:eastAsia="宋体" w:cs="宋体"/>
          <w:b/>
          <w:bCs/>
          <w:color w:val="auto"/>
          <w:sz w:val="18"/>
          <w:szCs w:val="18"/>
        </w:rPr>
      </w:pPr>
      <w:bookmarkStart w:id="314" w:name="_Toc989290"/>
      <w:r>
        <w:rPr>
          <w:rFonts w:ascii="宋体" w:hAnsi="宋体" w:eastAsia="宋体" w:cs="宋体"/>
          <w:b/>
          <w:bCs/>
          <w:color w:val="auto"/>
          <w:sz w:val="18"/>
          <w:szCs w:val="18"/>
        </w:rPr>
        <w:t>（5）购买日或合并当期期末无法合理确定合并对价或被购买方可辨认资产、负债公允价值的相关说明</w:t>
      </w:r>
      <w:bookmarkEnd w:id="314"/>
    </w:p>
    <w:p w14:paraId="1D1076C5">
      <w:pPr>
        <w:keepNext/>
        <w:keepLines/>
        <w:spacing w:before="300" w:after="300" w:line="280" w:lineRule="exact"/>
        <w:jc w:val="left"/>
        <w:outlineLvl w:val="3"/>
        <w:rPr>
          <w:rFonts w:ascii="宋体" w:hAnsi="宋体" w:eastAsia="宋体" w:cs="宋体"/>
          <w:b/>
          <w:bCs/>
          <w:color w:val="auto"/>
          <w:sz w:val="18"/>
          <w:szCs w:val="18"/>
        </w:rPr>
      </w:pPr>
      <w:bookmarkStart w:id="315" w:name="_Toc989291"/>
      <w:r>
        <w:rPr>
          <w:rFonts w:ascii="宋体" w:hAnsi="宋体" w:eastAsia="宋体" w:cs="宋体"/>
          <w:b/>
          <w:bCs/>
          <w:color w:val="auto"/>
          <w:sz w:val="18"/>
          <w:szCs w:val="18"/>
        </w:rPr>
        <w:t>（6）其他说明</w:t>
      </w:r>
      <w:bookmarkEnd w:id="315"/>
    </w:p>
    <w:p w14:paraId="2E29960C">
      <w:pPr>
        <w:keepNext/>
        <w:keepLines/>
        <w:spacing w:before="300" w:after="300" w:line="280" w:lineRule="exact"/>
        <w:jc w:val="left"/>
        <w:outlineLvl w:val="2"/>
        <w:rPr>
          <w:rFonts w:ascii="宋体" w:hAnsi="宋体" w:eastAsia="宋体" w:cs="宋体"/>
          <w:b/>
          <w:bCs/>
          <w:color w:val="auto"/>
          <w:sz w:val="21"/>
          <w:szCs w:val="21"/>
        </w:rPr>
      </w:pPr>
      <w:bookmarkStart w:id="316" w:name="_Toc989292"/>
      <w:r>
        <w:rPr>
          <w:rFonts w:ascii="宋体" w:hAnsi="宋体" w:eastAsia="宋体" w:cs="宋体"/>
          <w:b/>
          <w:bCs/>
          <w:color w:val="auto"/>
          <w:sz w:val="21"/>
          <w:szCs w:val="21"/>
        </w:rPr>
        <w:t>2、同一控制下企业合并</w:t>
      </w:r>
      <w:bookmarkEnd w:id="316"/>
    </w:p>
    <w:p w14:paraId="037B5CB2">
      <w:pPr>
        <w:keepNext/>
        <w:keepLines/>
        <w:spacing w:before="300" w:after="300" w:line="280" w:lineRule="exact"/>
        <w:jc w:val="left"/>
        <w:outlineLvl w:val="3"/>
        <w:rPr>
          <w:rFonts w:ascii="宋体" w:hAnsi="宋体" w:eastAsia="宋体" w:cs="宋体"/>
          <w:b/>
          <w:bCs/>
          <w:color w:val="auto"/>
          <w:sz w:val="18"/>
          <w:szCs w:val="18"/>
        </w:rPr>
      </w:pPr>
      <w:bookmarkStart w:id="317" w:name="_Toc989293"/>
      <w:r>
        <w:rPr>
          <w:rFonts w:ascii="宋体" w:hAnsi="宋体" w:eastAsia="宋体" w:cs="宋体"/>
          <w:b/>
          <w:bCs/>
          <w:color w:val="auto"/>
          <w:sz w:val="18"/>
          <w:szCs w:val="18"/>
        </w:rPr>
        <w:t>（1）本期发生的同一控制下企业合并</w:t>
      </w:r>
      <w:bookmarkEnd w:id="317"/>
    </w:p>
    <w:p w14:paraId="26CB030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15FEA9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A4A6C0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被合并方名称</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91D07E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企业合并中取得的权益比例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AF61E3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构成同一控制下企业合并的依据</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2D3E05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合并日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5C6C9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合并日的确定依据</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127C79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合并当期期初至合并日被合并方的收入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6AF608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合并当期期初至合并日被合并方的净利润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679E9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比较期间被合并方的收入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B84285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比较期间被合并方的净利润</w:t>
            </w:r>
          </w:p>
        </w:tc>
      </w:tr>
    </w:tbl>
    <w:p w14:paraId="5452E30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09BDCF3">
      <w:pPr>
        <w:keepNext/>
        <w:keepLines/>
        <w:spacing w:before="300" w:after="300" w:line="280" w:lineRule="exact"/>
        <w:jc w:val="left"/>
        <w:outlineLvl w:val="3"/>
        <w:rPr>
          <w:rFonts w:ascii="宋体" w:hAnsi="宋体" w:eastAsia="宋体" w:cs="宋体"/>
          <w:b/>
          <w:bCs/>
          <w:color w:val="auto"/>
          <w:sz w:val="18"/>
          <w:szCs w:val="18"/>
        </w:rPr>
      </w:pPr>
      <w:bookmarkStart w:id="318" w:name="_Toc989294"/>
      <w:r>
        <w:rPr>
          <w:rFonts w:ascii="宋体" w:hAnsi="宋体" w:eastAsia="宋体" w:cs="宋体"/>
          <w:b/>
          <w:bCs/>
          <w:color w:val="auto"/>
          <w:sz w:val="18"/>
          <w:szCs w:val="18"/>
        </w:rPr>
        <w:t>（2）合并成本</w:t>
      </w:r>
      <w:bookmarkEnd w:id="318"/>
    </w:p>
    <w:p w14:paraId="1739063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A0755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07561E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合并成本</w:t>
            </w:r>
          </w:p>
        </w:tc>
        <w:tc>
          <w:tcPr>
            <w:tcW w:w="4820" w:type="dxa"/>
            <w:tcBorders>
              <w:top w:val="single" w:color="auto" w:sz="2" w:space="0"/>
              <w:left w:val="single" w:color="auto" w:sz="2" w:space="0"/>
              <w:bottom w:val="single" w:color="auto" w:sz="2" w:space="0"/>
              <w:right w:val="single" w:color="auto" w:sz="2" w:space="0"/>
            </w:tcBorders>
            <w:vAlign w:val="center"/>
          </w:tcPr>
          <w:p w14:paraId="64106994">
            <w:pPr>
              <w:spacing w:before="0" w:after="0" w:line="240" w:lineRule="exact"/>
              <w:jc w:val="center"/>
              <w:rPr>
                <w:rFonts w:ascii="宋体" w:hAnsi="宋体" w:eastAsia="宋体" w:cs="宋体"/>
                <w:color w:val="auto"/>
                <w:sz w:val="18"/>
                <w:szCs w:val="18"/>
              </w:rPr>
            </w:pPr>
          </w:p>
        </w:tc>
      </w:tr>
      <w:tr w14:paraId="0DF402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1973ED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--现金</w:t>
            </w:r>
          </w:p>
        </w:tc>
        <w:tc>
          <w:tcPr>
            <w:tcW w:w="4820" w:type="dxa"/>
            <w:tcBorders>
              <w:top w:val="single" w:color="auto" w:sz="2" w:space="0"/>
              <w:left w:val="single" w:color="auto" w:sz="2" w:space="0"/>
              <w:bottom w:val="single" w:color="auto" w:sz="2" w:space="0"/>
              <w:right w:val="single" w:color="auto" w:sz="2" w:space="0"/>
            </w:tcBorders>
            <w:vAlign w:val="center"/>
          </w:tcPr>
          <w:p w14:paraId="7D762E0F">
            <w:pPr>
              <w:spacing w:before="0" w:after="0" w:line="240" w:lineRule="exact"/>
              <w:jc w:val="right"/>
              <w:rPr>
                <w:rFonts w:ascii="宋体" w:hAnsi="宋体" w:eastAsia="宋体" w:cs="宋体"/>
                <w:color w:val="auto"/>
                <w:sz w:val="18"/>
                <w:szCs w:val="18"/>
              </w:rPr>
            </w:pPr>
          </w:p>
        </w:tc>
      </w:tr>
      <w:tr w14:paraId="764FB8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A9B2C2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--非现金资产的账面价值</w:t>
            </w:r>
          </w:p>
        </w:tc>
        <w:tc>
          <w:tcPr>
            <w:tcW w:w="4820" w:type="dxa"/>
            <w:tcBorders>
              <w:top w:val="single" w:color="auto" w:sz="2" w:space="0"/>
              <w:left w:val="single" w:color="auto" w:sz="2" w:space="0"/>
              <w:bottom w:val="single" w:color="auto" w:sz="2" w:space="0"/>
              <w:right w:val="single" w:color="auto" w:sz="2" w:space="0"/>
            </w:tcBorders>
            <w:vAlign w:val="center"/>
          </w:tcPr>
          <w:p w14:paraId="7041F75B">
            <w:pPr>
              <w:spacing w:before="0" w:after="0" w:line="240" w:lineRule="exact"/>
              <w:jc w:val="right"/>
              <w:rPr>
                <w:rFonts w:ascii="宋体" w:hAnsi="宋体" w:eastAsia="宋体" w:cs="宋体"/>
                <w:color w:val="auto"/>
                <w:sz w:val="18"/>
                <w:szCs w:val="18"/>
              </w:rPr>
            </w:pPr>
          </w:p>
        </w:tc>
      </w:tr>
      <w:tr w14:paraId="2B56F1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BA376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--发行或承担的债务的账面价值</w:t>
            </w:r>
          </w:p>
        </w:tc>
        <w:tc>
          <w:tcPr>
            <w:tcW w:w="4820" w:type="dxa"/>
            <w:tcBorders>
              <w:top w:val="single" w:color="auto" w:sz="2" w:space="0"/>
              <w:left w:val="single" w:color="auto" w:sz="2" w:space="0"/>
              <w:bottom w:val="single" w:color="auto" w:sz="2" w:space="0"/>
              <w:right w:val="single" w:color="auto" w:sz="2" w:space="0"/>
            </w:tcBorders>
            <w:vAlign w:val="center"/>
          </w:tcPr>
          <w:p w14:paraId="1A207C36">
            <w:pPr>
              <w:spacing w:before="0" w:after="0" w:line="240" w:lineRule="exact"/>
              <w:jc w:val="right"/>
              <w:rPr>
                <w:rFonts w:ascii="宋体" w:hAnsi="宋体" w:eastAsia="宋体" w:cs="宋体"/>
                <w:color w:val="auto"/>
                <w:sz w:val="18"/>
                <w:szCs w:val="18"/>
              </w:rPr>
            </w:pPr>
          </w:p>
        </w:tc>
      </w:tr>
      <w:tr w14:paraId="6F14A0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D7BD63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--发行的权益性证券的面值</w:t>
            </w:r>
          </w:p>
        </w:tc>
        <w:tc>
          <w:tcPr>
            <w:tcW w:w="4820" w:type="dxa"/>
            <w:tcBorders>
              <w:top w:val="single" w:color="auto" w:sz="2" w:space="0"/>
              <w:left w:val="single" w:color="auto" w:sz="2" w:space="0"/>
              <w:bottom w:val="single" w:color="auto" w:sz="2" w:space="0"/>
              <w:right w:val="single" w:color="auto" w:sz="2" w:space="0"/>
            </w:tcBorders>
            <w:vAlign w:val="center"/>
          </w:tcPr>
          <w:p w14:paraId="34E8B251">
            <w:pPr>
              <w:spacing w:before="0" w:after="0" w:line="240" w:lineRule="exact"/>
              <w:jc w:val="right"/>
              <w:rPr>
                <w:rFonts w:ascii="宋体" w:hAnsi="宋体" w:eastAsia="宋体" w:cs="宋体"/>
                <w:color w:val="auto"/>
                <w:sz w:val="18"/>
                <w:szCs w:val="18"/>
              </w:rPr>
            </w:pPr>
          </w:p>
        </w:tc>
      </w:tr>
      <w:tr w14:paraId="22BE85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01BB05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--或有对价</w:t>
            </w:r>
          </w:p>
        </w:tc>
        <w:tc>
          <w:tcPr>
            <w:tcW w:w="4820" w:type="dxa"/>
            <w:tcBorders>
              <w:top w:val="single" w:color="auto" w:sz="2" w:space="0"/>
              <w:left w:val="single" w:color="auto" w:sz="2" w:space="0"/>
              <w:bottom w:val="single" w:color="auto" w:sz="2" w:space="0"/>
              <w:right w:val="single" w:color="auto" w:sz="2" w:space="0"/>
            </w:tcBorders>
            <w:vAlign w:val="center"/>
          </w:tcPr>
          <w:p w14:paraId="6050B14F">
            <w:pPr>
              <w:spacing w:before="0" w:after="0" w:line="240" w:lineRule="exact"/>
              <w:jc w:val="right"/>
              <w:rPr>
                <w:rFonts w:ascii="宋体" w:hAnsi="宋体" w:eastAsia="宋体" w:cs="宋体"/>
                <w:color w:val="auto"/>
                <w:sz w:val="18"/>
                <w:szCs w:val="18"/>
              </w:rPr>
            </w:pPr>
          </w:p>
        </w:tc>
      </w:tr>
    </w:tbl>
    <w:p w14:paraId="4E301B1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或有对价及其变动的说明：</w:t>
      </w:r>
    </w:p>
    <w:p w14:paraId="157E7A7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B07DCE9">
      <w:pPr>
        <w:keepNext/>
        <w:keepLines/>
        <w:spacing w:before="300" w:after="300" w:line="280" w:lineRule="exact"/>
        <w:jc w:val="left"/>
        <w:outlineLvl w:val="3"/>
        <w:rPr>
          <w:rFonts w:ascii="宋体" w:hAnsi="宋体" w:eastAsia="宋体" w:cs="宋体"/>
          <w:b/>
          <w:bCs/>
          <w:color w:val="auto"/>
          <w:sz w:val="18"/>
          <w:szCs w:val="18"/>
        </w:rPr>
      </w:pPr>
      <w:bookmarkStart w:id="319" w:name="_Toc989295"/>
      <w:r>
        <w:rPr>
          <w:rFonts w:ascii="宋体" w:hAnsi="宋体" w:eastAsia="宋体" w:cs="宋体"/>
          <w:b/>
          <w:bCs/>
          <w:color w:val="auto"/>
          <w:sz w:val="18"/>
          <w:szCs w:val="18"/>
        </w:rPr>
        <w:t>（3）合并日被合并方资产、负债的账面价值</w:t>
      </w:r>
      <w:bookmarkEnd w:id="319"/>
    </w:p>
    <w:p w14:paraId="6C5DB48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8E4FE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8F842F">
            <w:pPr>
              <w:rPr>
                <w:color w:val="auto"/>
              </w:rPr>
            </w:pP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765D0D30">
            <w:pPr>
              <w:spacing w:before="0" w:after="0" w:line="240" w:lineRule="exact"/>
              <w:jc w:val="center"/>
              <w:rPr>
                <w:rFonts w:ascii="宋体" w:hAnsi="宋体" w:eastAsia="宋体" w:cs="宋体"/>
                <w:color w:val="auto"/>
                <w:sz w:val="18"/>
                <w:szCs w:val="18"/>
              </w:rPr>
            </w:pPr>
          </w:p>
        </w:tc>
      </w:tr>
      <w:tr w14:paraId="5116ED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4AE7B3E">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DA47B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合并日</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236C7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上期期末</w:t>
            </w:r>
          </w:p>
        </w:tc>
      </w:tr>
      <w:tr w14:paraId="00F9CA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AF589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资产：</w:t>
            </w:r>
          </w:p>
        </w:tc>
        <w:tc>
          <w:tcPr>
            <w:tcW w:w="3213" w:type="dxa"/>
            <w:tcBorders>
              <w:top w:val="single" w:color="auto" w:sz="2" w:space="0"/>
              <w:left w:val="single" w:color="auto" w:sz="2" w:space="0"/>
              <w:bottom w:val="single" w:color="auto" w:sz="2" w:space="0"/>
              <w:right w:val="single" w:color="auto" w:sz="2" w:space="0"/>
            </w:tcBorders>
            <w:vAlign w:val="center"/>
          </w:tcPr>
          <w:p w14:paraId="67E9B64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3F186D">
            <w:pPr>
              <w:spacing w:before="0" w:after="0" w:line="240" w:lineRule="exact"/>
              <w:jc w:val="right"/>
              <w:rPr>
                <w:rFonts w:ascii="宋体" w:hAnsi="宋体" w:eastAsia="宋体" w:cs="宋体"/>
                <w:color w:val="auto"/>
                <w:sz w:val="18"/>
                <w:szCs w:val="18"/>
              </w:rPr>
            </w:pPr>
          </w:p>
        </w:tc>
      </w:tr>
      <w:tr w14:paraId="474220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BE96E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4636F3B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6F0243">
            <w:pPr>
              <w:spacing w:before="0" w:after="0" w:line="240" w:lineRule="exact"/>
              <w:jc w:val="right"/>
              <w:rPr>
                <w:rFonts w:ascii="宋体" w:hAnsi="宋体" w:eastAsia="宋体" w:cs="宋体"/>
                <w:color w:val="auto"/>
                <w:sz w:val="18"/>
                <w:szCs w:val="18"/>
              </w:rPr>
            </w:pPr>
          </w:p>
        </w:tc>
      </w:tr>
      <w:tr w14:paraId="286B0B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58630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应收款项</w:t>
            </w:r>
          </w:p>
        </w:tc>
        <w:tc>
          <w:tcPr>
            <w:tcW w:w="3213" w:type="dxa"/>
            <w:tcBorders>
              <w:top w:val="single" w:color="auto" w:sz="2" w:space="0"/>
              <w:left w:val="single" w:color="auto" w:sz="2" w:space="0"/>
              <w:bottom w:val="single" w:color="auto" w:sz="2" w:space="0"/>
              <w:right w:val="single" w:color="auto" w:sz="2" w:space="0"/>
            </w:tcBorders>
            <w:vAlign w:val="center"/>
          </w:tcPr>
          <w:p w14:paraId="182592F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9FB2B91">
            <w:pPr>
              <w:spacing w:before="0" w:after="0" w:line="240" w:lineRule="exact"/>
              <w:jc w:val="right"/>
              <w:rPr>
                <w:rFonts w:ascii="宋体" w:hAnsi="宋体" w:eastAsia="宋体" w:cs="宋体"/>
                <w:color w:val="auto"/>
                <w:sz w:val="18"/>
                <w:szCs w:val="18"/>
              </w:rPr>
            </w:pPr>
          </w:p>
        </w:tc>
      </w:tr>
      <w:tr w14:paraId="0FEB62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42DCF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322F2B8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039B481">
            <w:pPr>
              <w:spacing w:before="0" w:after="0" w:line="240" w:lineRule="exact"/>
              <w:jc w:val="right"/>
              <w:rPr>
                <w:rFonts w:ascii="宋体" w:hAnsi="宋体" w:eastAsia="宋体" w:cs="宋体"/>
                <w:color w:val="auto"/>
                <w:sz w:val="18"/>
                <w:szCs w:val="18"/>
              </w:rPr>
            </w:pPr>
          </w:p>
        </w:tc>
      </w:tr>
      <w:tr w14:paraId="707B5A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2A6D9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6D0CA13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E128284">
            <w:pPr>
              <w:spacing w:before="0" w:after="0" w:line="240" w:lineRule="exact"/>
              <w:jc w:val="right"/>
              <w:rPr>
                <w:rFonts w:ascii="宋体" w:hAnsi="宋体" w:eastAsia="宋体" w:cs="宋体"/>
                <w:color w:val="auto"/>
                <w:sz w:val="18"/>
                <w:szCs w:val="18"/>
              </w:rPr>
            </w:pPr>
          </w:p>
        </w:tc>
      </w:tr>
      <w:tr w14:paraId="1F906A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C486D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4B48635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3A2A3E1">
            <w:pPr>
              <w:spacing w:before="0" w:after="0" w:line="240" w:lineRule="exact"/>
              <w:jc w:val="right"/>
              <w:rPr>
                <w:rFonts w:ascii="宋体" w:hAnsi="宋体" w:eastAsia="宋体" w:cs="宋体"/>
                <w:color w:val="auto"/>
                <w:sz w:val="18"/>
                <w:szCs w:val="18"/>
              </w:rPr>
            </w:pPr>
          </w:p>
        </w:tc>
      </w:tr>
      <w:tr w14:paraId="326A6A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4FA7006">
            <w:pPr>
              <w:spacing w:before="0" w:after="0" w:line="240" w:lineRule="exact"/>
              <w:jc w:val="lef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0FA53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D1DBAD4">
            <w:pPr>
              <w:spacing w:before="0" w:after="0" w:line="240" w:lineRule="exact"/>
              <w:jc w:val="right"/>
              <w:rPr>
                <w:rFonts w:ascii="宋体" w:hAnsi="宋体" w:eastAsia="宋体" w:cs="宋体"/>
                <w:color w:val="auto"/>
                <w:sz w:val="18"/>
                <w:szCs w:val="18"/>
              </w:rPr>
            </w:pPr>
          </w:p>
        </w:tc>
      </w:tr>
      <w:tr w14:paraId="39DAC0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CFF2D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负债：</w:t>
            </w:r>
          </w:p>
        </w:tc>
        <w:tc>
          <w:tcPr>
            <w:tcW w:w="3213" w:type="dxa"/>
            <w:tcBorders>
              <w:top w:val="single" w:color="auto" w:sz="2" w:space="0"/>
              <w:left w:val="single" w:color="auto" w:sz="2" w:space="0"/>
              <w:bottom w:val="single" w:color="auto" w:sz="2" w:space="0"/>
              <w:right w:val="single" w:color="auto" w:sz="2" w:space="0"/>
            </w:tcBorders>
            <w:vAlign w:val="center"/>
          </w:tcPr>
          <w:p w14:paraId="3D621B17">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E34145">
            <w:pPr>
              <w:spacing w:before="0" w:after="0" w:line="240" w:lineRule="exact"/>
              <w:jc w:val="right"/>
              <w:rPr>
                <w:rFonts w:ascii="宋体" w:hAnsi="宋体" w:eastAsia="宋体" w:cs="宋体"/>
                <w:color w:val="auto"/>
                <w:sz w:val="18"/>
                <w:szCs w:val="18"/>
              </w:rPr>
            </w:pPr>
          </w:p>
        </w:tc>
      </w:tr>
      <w:tr w14:paraId="38164D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84211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借款</w:t>
            </w:r>
          </w:p>
        </w:tc>
        <w:tc>
          <w:tcPr>
            <w:tcW w:w="3213" w:type="dxa"/>
            <w:tcBorders>
              <w:top w:val="single" w:color="auto" w:sz="2" w:space="0"/>
              <w:left w:val="single" w:color="auto" w:sz="2" w:space="0"/>
              <w:bottom w:val="single" w:color="auto" w:sz="2" w:space="0"/>
              <w:right w:val="single" w:color="auto" w:sz="2" w:space="0"/>
            </w:tcBorders>
            <w:vAlign w:val="center"/>
          </w:tcPr>
          <w:p w14:paraId="61B79A4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186E392">
            <w:pPr>
              <w:spacing w:before="0" w:after="0" w:line="240" w:lineRule="exact"/>
              <w:jc w:val="right"/>
              <w:rPr>
                <w:rFonts w:ascii="宋体" w:hAnsi="宋体" w:eastAsia="宋体" w:cs="宋体"/>
                <w:color w:val="auto"/>
                <w:sz w:val="18"/>
                <w:szCs w:val="18"/>
              </w:rPr>
            </w:pPr>
          </w:p>
        </w:tc>
      </w:tr>
      <w:tr w14:paraId="4C2674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44D60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应付款项</w:t>
            </w:r>
          </w:p>
        </w:tc>
        <w:tc>
          <w:tcPr>
            <w:tcW w:w="3213" w:type="dxa"/>
            <w:tcBorders>
              <w:top w:val="single" w:color="auto" w:sz="2" w:space="0"/>
              <w:left w:val="single" w:color="auto" w:sz="2" w:space="0"/>
              <w:bottom w:val="single" w:color="auto" w:sz="2" w:space="0"/>
              <w:right w:val="single" w:color="auto" w:sz="2" w:space="0"/>
            </w:tcBorders>
            <w:vAlign w:val="center"/>
          </w:tcPr>
          <w:p w14:paraId="685E056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90E835">
            <w:pPr>
              <w:spacing w:before="0" w:after="0" w:line="240" w:lineRule="exact"/>
              <w:jc w:val="right"/>
              <w:rPr>
                <w:rFonts w:ascii="宋体" w:hAnsi="宋体" w:eastAsia="宋体" w:cs="宋体"/>
                <w:color w:val="auto"/>
                <w:sz w:val="18"/>
                <w:szCs w:val="18"/>
              </w:rPr>
            </w:pPr>
          </w:p>
        </w:tc>
      </w:tr>
      <w:tr w14:paraId="7F95D2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D3FA439">
            <w:pPr>
              <w:spacing w:before="0" w:after="0" w:line="240" w:lineRule="exact"/>
              <w:jc w:val="lef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62D3874">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D753DA">
            <w:pPr>
              <w:spacing w:before="0" w:after="0" w:line="240" w:lineRule="exact"/>
              <w:jc w:val="right"/>
              <w:rPr>
                <w:rFonts w:ascii="宋体" w:hAnsi="宋体" w:eastAsia="宋体" w:cs="宋体"/>
                <w:color w:val="auto"/>
                <w:sz w:val="18"/>
                <w:szCs w:val="18"/>
              </w:rPr>
            </w:pPr>
          </w:p>
        </w:tc>
      </w:tr>
      <w:tr w14:paraId="611E95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ECE07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净资产</w:t>
            </w:r>
          </w:p>
        </w:tc>
        <w:tc>
          <w:tcPr>
            <w:tcW w:w="3213" w:type="dxa"/>
            <w:tcBorders>
              <w:top w:val="single" w:color="auto" w:sz="2" w:space="0"/>
              <w:left w:val="single" w:color="auto" w:sz="2" w:space="0"/>
              <w:bottom w:val="single" w:color="auto" w:sz="2" w:space="0"/>
              <w:right w:val="single" w:color="auto" w:sz="2" w:space="0"/>
            </w:tcBorders>
            <w:vAlign w:val="center"/>
          </w:tcPr>
          <w:p w14:paraId="5ECDA79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22D2A6">
            <w:pPr>
              <w:spacing w:before="0" w:after="0" w:line="240" w:lineRule="exact"/>
              <w:jc w:val="right"/>
              <w:rPr>
                <w:rFonts w:ascii="宋体" w:hAnsi="宋体" w:eastAsia="宋体" w:cs="宋体"/>
                <w:color w:val="auto"/>
                <w:sz w:val="18"/>
                <w:szCs w:val="18"/>
              </w:rPr>
            </w:pPr>
          </w:p>
        </w:tc>
      </w:tr>
      <w:tr w14:paraId="5946D3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72A97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减：少数股东权益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1E40C94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0D1AC9">
            <w:pPr>
              <w:spacing w:before="0" w:after="0" w:line="240" w:lineRule="exact"/>
              <w:jc w:val="right"/>
              <w:rPr>
                <w:rFonts w:ascii="宋体" w:hAnsi="宋体" w:eastAsia="宋体" w:cs="宋体"/>
                <w:color w:val="auto"/>
                <w:sz w:val="18"/>
                <w:szCs w:val="18"/>
              </w:rPr>
            </w:pPr>
          </w:p>
        </w:tc>
      </w:tr>
      <w:tr w14:paraId="15D8DF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2A939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取得的净资产</w:t>
            </w:r>
          </w:p>
        </w:tc>
        <w:tc>
          <w:tcPr>
            <w:tcW w:w="3213" w:type="dxa"/>
            <w:tcBorders>
              <w:top w:val="single" w:color="auto" w:sz="2" w:space="0"/>
              <w:left w:val="single" w:color="auto" w:sz="2" w:space="0"/>
              <w:bottom w:val="single" w:color="auto" w:sz="2" w:space="0"/>
              <w:right w:val="single" w:color="auto" w:sz="2" w:space="0"/>
            </w:tcBorders>
            <w:vAlign w:val="center"/>
          </w:tcPr>
          <w:p w14:paraId="4FEB197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C3F928">
            <w:pPr>
              <w:spacing w:before="0" w:after="0" w:line="240" w:lineRule="exact"/>
              <w:jc w:val="right"/>
              <w:rPr>
                <w:rFonts w:ascii="宋体" w:hAnsi="宋体" w:eastAsia="宋体" w:cs="宋体"/>
                <w:color w:val="auto"/>
                <w:sz w:val="18"/>
                <w:szCs w:val="18"/>
              </w:rPr>
            </w:pPr>
          </w:p>
        </w:tc>
      </w:tr>
    </w:tbl>
    <w:p w14:paraId="1CFB53C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企业合并中承担的被合并方的或有负债：</w:t>
      </w:r>
    </w:p>
    <w:p w14:paraId="6DC6640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5DF0C88D">
      <w:pPr>
        <w:keepNext/>
        <w:keepLines/>
        <w:spacing w:before="300" w:after="300" w:line="280" w:lineRule="exact"/>
        <w:jc w:val="left"/>
        <w:outlineLvl w:val="2"/>
        <w:rPr>
          <w:rFonts w:ascii="宋体" w:hAnsi="宋体" w:eastAsia="宋体" w:cs="宋体"/>
          <w:b/>
          <w:bCs/>
          <w:color w:val="auto"/>
          <w:sz w:val="21"/>
          <w:szCs w:val="21"/>
        </w:rPr>
      </w:pPr>
      <w:bookmarkStart w:id="320" w:name="_Toc989296"/>
      <w:r>
        <w:rPr>
          <w:rFonts w:ascii="宋体" w:hAnsi="宋体" w:eastAsia="宋体" w:cs="宋体"/>
          <w:b/>
          <w:bCs/>
          <w:color w:val="auto"/>
          <w:sz w:val="21"/>
          <w:szCs w:val="21"/>
        </w:rPr>
        <w:t>3、反向购买</w:t>
      </w:r>
      <w:bookmarkEnd w:id="320"/>
    </w:p>
    <w:p w14:paraId="62CEC10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交易基本信息、交易构成反向购买的依据、上市公司保留的资产、负债是否构成业务及其依据、合并成本的确定、按照权益性交易处理时调整权益的金额及其计算：</w:t>
      </w:r>
    </w:p>
    <w:p w14:paraId="19BCD3A5">
      <w:pPr>
        <w:keepNext/>
        <w:keepLines/>
        <w:spacing w:before="300" w:after="300" w:line="280" w:lineRule="exact"/>
        <w:jc w:val="left"/>
        <w:outlineLvl w:val="2"/>
        <w:rPr>
          <w:rFonts w:ascii="宋体" w:hAnsi="宋体" w:eastAsia="宋体" w:cs="宋体"/>
          <w:b/>
          <w:bCs/>
          <w:color w:val="auto"/>
          <w:sz w:val="21"/>
          <w:szCs w:val="21"/>
        </w:rPr>
      </w:pPr>
      <w:bookmarkStart w:id="321" w:name="_Toc989297"/>
      <w:r>
        <w:rPr>
          <w:rFonts w:ascii="宋体" w:hAnsi="宋体" w:eastAsia="宋体" w:cs="宋体"/>
          <w:b/>
          <w:bCs/>
          <w:color w:val="auto"/>
          <w:sz w:val="21"/>
          <w:szCs w:val="21"/>
        </w:rPr>
        <w:t>4、处置子公司</w:t>
      </w:r>
      <w:bookmarkEnd w:id="321"/>
    </w:p>
    <w:p w14:paraId="3D97EF5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本期是否存在丧失子公司控制权的交易或事项</w:t>
      </w:r>
    </w:p>
    <w:p w14:paraId="410DD49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□是</w:t>
      </w:r>
      <w:r>
        <w:rPr>
          <w:rFonts w:ascii="宋体" w:hAnsi="宋体" w:eastAsia="宋体" w:cs="宋体"/>
          <w:color w:val="auto"/>
          <w:sz w:val="18"/>
          <w:szCs w:val="18"/>
        </w:rPr>
        <w:sym w:font="Wingdings 2" w:char="F052"/>
      </w:r>
      <w:r>
        <w:rPr>
          <w:rFonts w:ascii="宋体" w:hAnsi="宋体" w:eastAsia="宋体" w:cs="宋体"/>
          <w:color w:val="auto"/>
          <w:sz w:val="18"/>
          <w:szCs w:val="18"/>
        </w:rPr>
        <w:t>否</w:t>
      </w:r>
    </w:p>
    <w:p w14:paraId="079179E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是否存在通过多次交易分步处置对子公司投资且在本期丧失控制权的情形</w:t>
      </w:r>
    </w:p>
    <w:p w14:paraId="002BE41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□是</w:t>
      </w:r>
      <w:r>
        <w:rPr>
          <w:rFonts w:ascii="宋体" w:hAnsi="宋体" w:eastAsia="宋体" w:cs="宋体"/>
          <w:color w:val="auto"/>
          <w:sz w:val="18"/>
          <w:szCs w:val="18"/>
        </w:rPr>
        <w:sym w:font="Wingdings 2" w:char="F052"/>
      </w:r>
      <w:r>
        <w:rPr>
          <w:rFonts w:ascii="宋体" w:hAnsi="宋体" w:eastAsia="宋体" w:cs="宋体"/>
          <w:color w:val="auto"/>
          <w:sz w:val="18"/>
          <w:szCs w:val="18"/>
        </w:rPr>
        <w:t>否</w:t>
      </w:r>
    </w:p>
    <w:p w14:paraId="5B354F96">
      <w:pPr>
        <w:keepNext/>
        <w:keepLines/>
        <w:spacing w:before="300" w:after="300" w:line="280" w:lineRule="exact"/>
        <w:jc w:val="left"/>
        <w:outlineLvl w:val="2"/>
        <w:rPr>
          <w:rFonts w:ascii="宋体" w:hAnsi="宋体" w:eastAsia="宋体" w:cs="宋体"/>
          <w:b/>
          <w:bCs/>
          <w:color w:val="auto"/>
          <w:sz w:val="21"/>
          <w:szCs w:val="21"/>
        </w:rPr>
      </w:pPr>
      <w:bookmarkStart w:id="322" w:name="_Toc989298"/>
      <w:r>
        <w:rPr>
          <w:rFonts w:ascii="宋体" w:hAnsi="宋体" w:eastAsia="宋体" w:cs="宋体"/>
          <w:b/>
          <w:bCs/>
          <w:color w:val="auto"/>
          <w:sz w:val="21"/>
          <w:szCs w:val="21"/>
        </w:rPr>
        <w:t>5、其他原因的合并范围变动</w:t>
      </w:r>
      <w:bookmarkEnd w:id="322"/>
    </w:p>
    <w:p w14:paraId="63E7600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说明其他原因导致的合并范围变动（如，新设子公司、清算子公司等）及其相关情况：</w:t>
      </w:r>
    </w:p>
    <w:p w14:paraId="408CC6F8">
      <w:pPr>
        <w:keepNext/>
        <w:keepLines/>
        <w:spacing w:before="300" w:after="300" w:line="280" w:lineRule="exact"/>
        <w:jc w:val="left"/>
        <w:outlineLvl w:val="2"/>
        <w:rPr>
          <w:rFonts w:ascii="宋体" w:hAnsi="宋体" w:eastAsia="宋体" w:cs="宋体"/>
          <w:b/>
          <w:bCs/>
          <w:color w:val="auto"/>
          <w:sz w:val="21"/>
          <w:szCs w:val="21"/>
        </w:rPr>
      </w:pPr>
      <w:bookmarkStart w:id="323" w:name="_Toc989299"/>
      <w:r>
        <w:rPr>
          <w:rFonts w:ascii="宋体" w:hAnsi="宋体" w:eastAsia="宋体" w:cs="宋体"/>
          <w:b/>
          <w:bCs/>
          <w:color w:val="auto"/>
          <w:sz w:val="21"/>
          <w:szCs w:val="21"/>
        </w:rPr>
        <w:t>6、其他</w:t>
      </w:r>
      <w:bookmarkEnd w:id="323"/>
    </w:p>
    <w:p w14:paraId="49A7D399">
      <w:pPr>
        <w:keepNext/>
        <w:keepLines/>
        <w:spacing w:before="300" w:after="300" w:line="320" w:lineRule="exact"/>
        <w:jc w:val="left"/>
        <w:outlineLvl w:val="1"/>
        <w:rPr>
          <w:rFonts w:ascii="宋体" w:hAnsi="宋体" w:eastAsia="宋体" w:cs="宋体"/>
          <w:b/>
          <w:bCs/>
          <w:color w:val="auto"/>
          <w:sz w:val="24"/>
          <w:szCs w:val="24"/>
        </w:rPr>
      </w:pPr>
      <w:bookmarkStart w:id="324" w:name="_Toc989300"/>
      <w:r>
        <w:rPr>
          <w:rFonts w:ascii="宋体" w:hAnsi="宋体" w:eastAsia="宋体" w:cs="宋体"/>
          <w:b/>
          <w:bCs/>
          <w:color w:val="auto"/>
          <w:sz w:val="24"/>
          <w:szCs w:val="24"/>
        </w:rPr>
        <w:t>十、在其他主体中的权益</w:t>
      </w:r>
      <w:bookmarkEnd w:id="324"/>
    </w:p>
    <w:p w14:paraId="57A6DE9E">
      <w:pPr>
        <w:keepNext/>
        <w:keepLines/>
        <w:spacing w:before="300" w:after="300" w:line="280" w:lineRule="exact"/>
        <w:jc w:val="left"/>
        <w:outlineLvl w:val="2"/>
        <w:rPr>
          <w:rFonts w:ascii="宋体" w:hAnsi="宋体" w:eastAsia="宋体" w:cs="宋体"/>
          <w:b/>
          <w:bCs/>
          <w:color w:val="auto"/>
          <w:sz w:val="21"/>
          <w:szCs w:val="21"/>
        </w:rPr>
      </w:pPr>
      <w:bookmarkStart w:id="325" w:name="_Toc989301"/>
      <w:r>
        <w:rPr>
          <w:rFonts w:ascii="宋体" w:hAnsi="宋体" w:eastAsia="宋体" w:cs="宋体"/>
          <w:b/>
          <w:bCs/>
          <w:color w:val="auto"/>
          <w:sz w:val="21"/>
          <w:szCs w:val="21"/>
        </w:rPr>
        <w:t>1、在子公司中的权益</w:t>
      </w:r>
      <w:bookmarkEnd w:id="325"/>
    </w:p>
    <w:p w14:paraId="5E3A9E36">
      <w:pPr>
        <w:keepNext/>
        <w:keepLines/>
        <w:spacing w:before="300" w:after="300" w:line="280" w:lineRule="exact"/>
        <w:jc w:val="left"/>
        <w:outlineLvl w:val="3"/>
        <w:rPr>
          <w:rFonts w:ascii="宋体" w:hAnsi="宋体" w:eastAsia="宋体" w:cs="宋体"/>
          <w:b/>
          <w:bCs/>
          <w:color w:val="auto"/>
          <w:sz w:val="18"/>
          <w:szCs w:val="18"/>
        </w:rPr>
      </w:pPr>
      <w:bookmarkStart w:id="326" w:name="_Toc989302"/>
      <w:r>
        <w:rPr>
          <w:rFonts w:ascii="宋体" w:hAnsi="宋体" w:eastAsia="宋体" w:cs="宋体"/>
          <w:b/>
          <w:bCs/>
          <w:color w:val="auto"/>
          <w:sz w:val="18"/>
          <w:szCs w:val="18"/>
        </w:rPr>
        <w:t>（1）企业集团的构成</w:t>
      </w:r>
      <w:bookmarkEnd w:id="326"/>
    </w:p>
    <w:p w14:paraId="58F7308E">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5"/>
        <w:gridCol w:w="1205"/>
        <w:gridCol w:w="1205"/>
        <w:gridCol w:w="1205"/>
        <w:gridCol w:w="1205"/>
        <w:gridCol w:w="1205"/>
        <w:gridCol w:w="1205"/>
        <w:gridCol w:w="1205"/>
      </w:tblGrid>
      <w:tr w14:paraId="28CA97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925D04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子公司名称</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E6745E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注册资本</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2B07DC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主要经营地</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2C1604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注册地</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76914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业务性质</w:t>
            </w:r>
          </w:p>
        </w:tc>
        <w:tc>
          <w:tcPr>
            <w:tcW w:w="241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B656D3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持股比例</w:t>
            </w:r>
          </w:p>
        </w:tc>
        <w:tc>
          <w:tcPr>
            <w:tcW w:w="120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C31DF0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取得方式</w:t>
            </w:r>
          </w:p>
        </w:tc>
      </w:tr>
      <w:tr w14:paraId="24F22F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860680F">
            <w:pPr>
              <w:rPr>
                <w:color w:val="auto"/>
              </w:rPr>
            </w:pP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93EE01">
            <w:pPr>
              <w:rPr>
                <w:color w:val="auto"/>
              </w:rPr>
            </w:pP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0024DAF">
            <w:pPr>
              <w:rPr>
                <w:color w:val="auto"/>
              </w:rPr>
            </w:pP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6604156">
            <w:pPr>
              <w:rPr>
                <w:color w:val="auto"/>
              </w:rPr>
            </w:pP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4D8B50">
            <w:pPr>
              <w:rPr>
                <w:color w:val="auto"/>
              </w:rPr>
            </w:pP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6BDC06B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直接</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6710AD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间接</w:t>
            </w:r>
          </w:p>
        </w:tc>
        <w:tc>
          <w:tcPr>
            <w:tcW w:w="120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1FA97E4">
            <w:pPr>
              <w:rPr>
                <w:color w:val="auto"/>
              </w:rPr>
            </w:pPr>
          </w:p>
        </w:tc>
      </w:tr>
      <w:tr w14:paraId="7FEBAC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5844A13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福建广生堂医药销售有限公司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3A9F3DD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30,000,000.00</w:t>
            </w:r>
          </w:p>
        </w:tc>
        <w:tc>
          <w:tcPr>
            <w:tcW w:w="1205" w:type="dxa"/>
            <w:tcBorders>
              <w:top w:val="single" w:color="auto" w:sz="2" w:space="0"/>
              <w:left w:val="single" w:color="auto" w:sz="2" w:space="0"/>
              <w:bottom w:val="single" w:color="auto" w:sz="2" w:space="0"/>
              <w:right w:val="single" w:color="auto" w:sz="2" w:space="0"/>
            </w:tcBorders>
            <w:vAlign w:val="center"/>
          </w:tcPr>
          <w:p w14:paraId="436C04E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福建省福州市</w:t>
            </w:r>
          </w:p>
        </w:tc>
        <w:tc>
          <w:tcPr>
            <w:tcW w:w="1205" w:type="dxa"/>
            <w:tcBorders>
              <w:top w:val="single" w:color="auto" w:sz="2" w:space="0"/>
              <w:left w:val="single" w:color="auto" w:sz="2" w:space="0"/>
              <w:bottom w:val="single" w:color="auto" w:sz="2" w:space="0"/>
              <w:right w:val="single" w:color="auto" w:sz="2" w:space="0"/>
            </w:tcBorders>
            <w:vAlign w:val="center"/>
          </w:tcPr>
          <w:p w14:paraId="382F49F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福建省福州市</w:t>
            </w:r>
          </w:p>
        </w:tc>
        <w:tc>
          <w:tcPr>
            <w:tcW w:w="1205" w:type="dxa"/>
            <w:tcBorders>
              <w:top w:val="single" w:color="auto" w:sz="2" w:space="0"/>
              <w:left w:val="single" w:color="auto" w:sz="2" w:space="0"/>
              <w:bottom w:val="single" w:color="auto" w:sz="2" w:space="0"/>
              <w:right w:val="single" w:color="auto" w:sz="2" w:space="0"/>
            </w:tcBorders>
            <w:vAlign w:val="center"/>
          </w:tcPr>
          <w:p w14:paraId="78B7350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医药销售</w:t>
            </w:r>
          </w:p>
        </w:tc>
        <w:tc>
          <w:tcPr>
            <w:tcW w:w="1205" w:type="dxa"/>
            <w:tcBorders>
              <w:top w:val="single" w:color="auto" w:sz="2" w:space="0"/>
              <w:left w:val="single" w:color="auto" w:sz="2" w:space="0"/>
              <w:bottom w:val="single" w:color="auto" w:sz="2" w:space="0"/>
              <w:right w:val="single" w:color="auto" w:sz="2" w:space="0"/>
            </w:tcBorders>
            <w:vAlign w:val="center"/>
          </w:tcPr>
          <w:p w14:paraId="398FD2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258F12BF">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982AF8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0D224E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2512AAC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福建广生堂电子商务有限责任公司</w:t>
            </w:r>
          </w:p>
        </w:tc>
        <w:tc>
          <w:tcPr>
            <w:tcW w:w="1205" w:type="dxa"/>
            <w:tcBorders>
              <w:top w:val="single" w:color="auto" w:sz="2" w:space="0"/>
              <w:left w:val="single" w:color="auto" w:sz="2" w:space="0"/>
              <w:bottom w:val="single" w:color="auto" w:sz="2" w:space="0"/>
              <w:right w:val="single" w:color="auto" w:sz="2" w:space="0"/>
            </w:tcBorders>
            <w:vAlign w:val="center"/>
          </w:tcPr>
          <w:p w14:paraId="723143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10,000,000.00</w:t>
            </w:r>
          </w:p>
        </w:tc>
        <w:tc>
          <w:tcPr>
            <w:tcW w:w="1205" w:type="dxa"/>
            <w:tcBorders>
              <w:top w:val="single" w:color="auto" w:sz="2" w:space="0"/>
              <w:left w:val="single" w:color="auto" w:sz="2" w:space="0"/>
              <w:bottom w:val="single" w:color="auto" w:sz="2" w:space="0"/>
              <w:right w:val="single" w:color="auto" w:sz="2" w:space="0"/>
            </w:tcBorders>
            <w:vAlign w:val="center"/>
          </w:tcPr>
          <w:p w14:paraId="2F26CBD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43A205B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07DD9D5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医药销售</w:t>
            </w:r>
          </w:p>
        </w:tc>
        <w:tc>
          <w:tcPr>
            <w:tcW w:w="1205" w:type="dxa"/>
            <w:tcBorders>
              <w:top w:val="single" w:color="auto" w:sz="2" w:space="0"/>
              <w:left w:val="single" w:color="auto" w:sz="2" w:space="0"/>
              <w:bottom w:val="single" w:color="auto" w:sz="2" w:space="0"/>
              <w:right w:val="single" w:color="auto" w:sz="2" w:space="0"/>
            </w:tcBorders>
            <w:vAlign w:val="center"/>
          </w:tcPr>
          <w:p w14:paraId="7798989B">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A727F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627C91E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4BC0E5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388ABC4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福建广生医院有限公司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7BEFDC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10,500,000.00</w:t>
            </w:r>
          </w:p>
        </w:tc>
        <w:tc>
          <w:tcPr>
            <w:tcW w:w="1205" w:type="dxa"/>
            <w:tcBorders>
              <w:top w:val="single" w:color="auto" w:sz="2" w:space="0"/>
              <w:left w:val="single" w:color="auto" w:sz="2" w:space="0"/>
              <w:bottom w:val="single" w:color="auto" w:sz="2" w:space="0"/>
              <w:right w:val="single" w:color="auto" w:sz="2" w:space="0"/>
            </w:tcBorders>
            <w:vAlign w:val="center"/>
          </w:tcPr>
          <w:p w14:paraId="5510E12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福建省长乐市</w:t>
            </w:r>
          </w:p>
        </w:tc>
        <w:tc>
          <w:tcPr>
            <w:tcW w:w="1205" w:type="dxa"/>
            <w:tcBorders>
              <w:top w:val="single" w:color="auto" w:sz="2" w:space="0"/>
              <w:left w:val="single" w:color="auto" w:sz="2" w:space="0"/>
              <w:bottom w:val="single" w:color="auto" w:sz="2" w:space="0"/>
              <w:right w:val="single" w:color="auto" w:sz="2" w:space="0"/>
            </w:tcBorders>
            <w:vAlign w:val="center"/>
          </w:tcPr>
          <w:p w14:paraId="66A9992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福建省长乐市</w:t>
            </w:r>
          </w:p>
        </w:tc>
        <w:tc>
          <w:tcPr>
            <w:tcW w:w="1205" w:type="dxa"/>
            <w:tcBorders>
              <w:top w:val="single" w:color="auto" w:sz="2" w:space="0"/>
              <w:left w:val="single" w:color="auto" w:sz="2" w:space="0"/>
              <w:bottom w:val="single" w:color="auto" w:sz="2" w:space="0"/>
              <w:right w:val="single" w:color="auto" w:sz="2" w:space="0"/>
            </w:tcBorders>
            <w:vAlign w:val="center"/>
          </w:tcPr>
          <w:p w14:paraId="5E3D4E3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妇幼保健医疗服务</w:t>
            </w:r>
          </w:p>
        </w:tc>
        <w:tc>
          <w:tcPr>
            <w:tcW w:w="1205" w:type="dxa"/>
            <w:tcBorders>
              <w:top w:val="single" w:color="auto" w:sz="2" w:space="0"/>
              <w:left w:val="single" w:color="auto" w:sz="2" w:space="0"/>
              <w:bottom w:val="single" w:color="auto" w:sz="2" w:space="0"/>
              <w:right w:val="single" w:color="auto" w:sz="2" w:space="0"/>
            </w:tcBorders>
            <w:vAlign w:val="center"/>
          </w:tcPr>
          <w:p w14:paraId="4AD3ED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47FE68EB">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7E9FA5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77E568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FF753B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福建华医互联网医院有限公司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2C1C72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10,000,000.00</w:t>
            </w:r>
          </w:p>
        </w:tc>
        <w:tc>
          <w:tcPr>
            <w:tcW w:w="1205" w:type="dxa"/>
            <w:tcBorders>
              <w:top w:val="single" w:color="auto" w:sz="2" w:space="0"/>
              <w:left w:val="single" w:color="auto" w:sz="2" w:space="0"/>
              <w:bottom w:val="single" w:color="auto" w:sz="2" w:space="0"/>
              <w:right w:val="single" w:color="auto" w:sz="2" w:space="0"/>
            </w:tcBorders>
            <w:vAlign w:val="center"/>
          </w:tcPr>
          <w:p w14:paraId="4E4DA1A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福建省长乐市</w:t>
            </w:r>
          </w:p>
        </w:tc>
        <w:tc>
          <w:tcPr>
            <w:tcW w:w="1205" w:type="dxa"/>
            <w:tcBorders>
              <w:top w:val="single" w:color="auto" w:sz="2" w:space="0"/>
              <w:left w:val="single" w:color="auto" w:sz="2" w:space="0"/>
              <w:bottom w:val="single" w:color="auto" w:sz="2" w:space="0"/>
              <w:right w:val="single" w:color="auto" w:sz="2" w:space="0"/>
            </w:tcBorders>
            <w:vAlign w:val="center"/>
          </w:tcPr>
          <w:p w14:paraId="083E81E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福建省长乐市</w:t>
            </w:r>
          </w:p>
        </w:tc>
        <w:tc>
          <w:tcPr>
            <w:tcW w:w="1205" w:type="dxa"/>
            <w:tcBorders>
              <w:top w:val="single" w:color="auto" w:sz="2" w:space="0"/>
              <w:left w:val="single" w:color="auto" w:sz="2" w:space="0"/>
              <w:bottom w:val="single" w:color="auto" w:sz="2" w:space="0"/>
              <w:right w:val="single" w:color="auto" w:sz="2" w:space="0"/>
            </w:tcBorders>
            <w:vAlign w:val="center"/>
          </w:tcPr>
          <w:p w14:paraId="3598FA0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妇幼保健医疗服务</w:t>
            </w:r>
          </w:p>
        </w:tc>
        <w:tc>
          <w:tcPr>
            <w:tcW w:w="1205" w:type="dxa"/>
            <w:tcBorders>
              <w:top w:val="single" w:color="auto" w:sz="2" w:space="0"/>
              <w:left w:val="single" w:color="auto" w:sz="2" w:space="0"/>
              <w:bottom w:val="single" w:color="auto" w:sz="2" w:space="0"/>
              <w:right w:val="single" w:color="auto" w:sz="2" w:space="0"/>
            </w:tcBorders>
            <w:vAlign w:val="center"/>
          </w:tcPr>
          <w:p w14:paraId="48102ADD">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D3ADF8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684EFA2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3B6751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950773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福建多嘿嘿男性健康咨询有限公司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6A90B7D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10,000,000.00</w:t>
            </w:r>
          </w:p>
        </w:tc>
        <w:tc>
          <w:tcPr>
            <w:tcW w:w="1205" w:type="dxa"/>
            <w:tcBorders>
              <w:top w:val="single" w:color="auto" w:sz="2" w:space="0"/>
              <w:left w:val="single" w:color="auto" w:sz="2" w:space="0"/>
              <w:bottom w:val="single" w:color="auto" w:sz="2" w:space="0"/>
              <w:right w:val="single" w:color="auto" w:sz="2" w:space="0"/>
            </w:tcBorders>
            <w:vAlign w:val="center"/>
          </w:tcPr>
          <w:p w14:paraId="7A29F8E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762AD2A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315E274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健康咨询服务</w:t>
            </w:r>
          </w:p>
        </w:tc>
        <w:tc>
          <w:tcPr>
            <w:tcW w:w="1205" w:type="dxa"/>
            <w:tcBorders>
              <w:top w:val="single" w:color="auto" w:sz="2" w:space="0"/>
              <w:left w:val="single" w:color="auto" w:sz="2" w:space="0"/>
              <w:bottom w:val="single" w:color="auto" w:sz="2" w:space="0"/>
              <w:right w:val="single" w:color="auto" w:sz="2" w:space="0"/>
            </w:tcBorders>
            <w:vAlign w:val="center"/>
          </w:tcPr>
          <w:p w14:paraId="0219BC11">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AE2BB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7A1D6D4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13C0C1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0818CF0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福建广生堂金塘药业有限公司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2A3A1F1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170,000,000.00</w:t>
            </w:r>
          </w:p>
        </w:tc>
        <w:tc>
          <w:tcPr>
            <w:tcW w:w="1205" w:type="dxa"/>
            <w:tcBorders>
              <w:top w:val="single" w:color="auto" w:sz="2" w:space="0"/>
              <w:left w:val="single" w:color="auto" w:sz="2" w:space="0"/>
              <w:bottom w:val="single" w:color="auto" w:sz="2" w:space="0"/>
              <w:right w:val="single" w:color="auto" w:sz="2" w:space="0"/>
            </w:tcBorders>
            <w:vAlign w:val="center"/>
          </w:tcPr>
          <w:p w14:paraId="0B37E3B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福建省邵武市</w:t>
            </w:r>
          </w:p>
        </w:tc>
        <w:tc>
          <w:tcPr>
            <w:tcW w:w="1205" w:type="dxa"/>
            <w:tcBorders>
              <w:top w:val="single" w:color="auto" w:sz="2" w:space="0"/>
              <w:left w:val="single" w:color="auto" w:sz="2" w:space="0"/>
              <w:bottom w:val="single" w:color="auto" w:sz="2" w:space="0"/>
              <w:right w:val="single" w:color="auto" w:sz="2" w:space="0"/>
            </w:tcBorders>
            <w:vAlign w:val="center"/>
          </w:tcPr>
          <w:p w14:paraId="27C131E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福建省邵武市</w:t>
            </w:r>
          </w:p>
        </w:tc>
        <w:tc>
          <w:tcPr>
            <w:tcW w:w="1205" w:type="dxa"/>
            <w:tcBorders>
              <w:top w:val="single" w:color="auto" w:sz="2" w:space="0"/>
              <w:left w:val="single" w:color="auto" w:sz="2" w:space="0"/>
              <w:bottom w:val="single" w:color="auto" w:sz="2" w:space="0"/>
              <w:right w:val="single" w:color="auto" w:sz="2" w:space="0"/>
            </w:tcBorders>
            <w:vAlign w:val="center"/>
          </w:tcPr>
          <w:p w14:paraId="0AA000A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医药生产</w:t>
            </w:r>
          </w:p>
        </w:tc>
        <w:tc>
          <w:tcPr>
            <w:tcW w:w="1205" w:type="dxa"/>
            <w:tcBorders>
              <w:top w:val="single" w:color="auto" w:sz="2" w:space="0"/>
              <w:left w:val="single" w:color="auto" w:sz="2" w:space="0"/>
              <w:bottom w:val="single" w:color="auto" w:sz="2" w:space="0"/>
              <w:right w:val="single" w:color="auto" w:sz="2" w:space="0"/>
            </w:tcBorders>
            <w:vAlign w:val="center"/>
          </w:tcPr>
          <w:p w14:paraId="3162CB3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1A112183">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9207C7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11140B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304F5E1A">
            <w:pPr>
              <w:spacing w:before="0" w:after="0" w:line="240" w:lineRule="exact"/>
              <w:jc w:val="left"/>
              <w:rPr>
                <w:rFonts w:ascii="宋体" w:hAnsi="宋体" w:eastAsia="宋体" w:cs="宋体"/>
                <w:color w:val="auto"/>
                <w:sz w:val="18"/>
                <w:szCs w:val="18"/>
              </w:rPr>
            </w:pPr>
            <w:r>
              <w:rPr>
                <w:rFonts w:hint="eastAsia" w:ascii="宋体" w:hAnsi="宋体" w:eastAsia="宋体" w:cs="宋体"/>
                <w:color w:val="auto"/>
                <w:sz w:val="18"/>
                <w:szCs w:val="18"/>
              </w:rPr>
              <w:t>广生堂中兴（江苏）药业有限公司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43A4CA1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64,285,714.00</w:t>
            </w:r>
          </w:p>
        </w:tc>
        <w:tc>
          <w:tcPr>
            <w:tcW w:w="1205" w:type="dxa"/>
            <w:tcBorders>
              <w:top w:val="single" w:color="auto" w:sz="2" w:space="0"/>
              <w:left w:val="single" w:color="auto" w:sz="2" w:space="0"/>
              <w:bottom w:val="single" w:color="auto" w:sz="2" w:space="0"/>
              <w:right w:val="single" w:color="auto" w:sz="2" w:space="0"/>
            </w:tcBorders>
            <w:vAlign w:val="center"/>
          </w:tcPr>
          <w:p w14:paraId="1D51795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江苏省镇江市</w:t>
            </w:r>
          </w:p>
        </w:tc>
        <w:tc>
          <w:tcPr>
            <w:tcW w:w="1205" w:type="dxa"/>
            <w:tcBorders>
              <w:top w:val="single" w:color="auto" w:sz="2" w:space="0"/>
              <w:left w:val="single" w:color="auto" w:sz="2" w:space="0"/>
              <w:bottom w:val="single" w:color="auto" w:sz="2" w:space="0"/>
              <w:right w:val="single" w:color="auto" w:sz="2" w:space="0"/>
            </w:tcBorders>
            <w:vAlign w:val="center"/>
          </w:tcPr>
          <w:p w14:paraId="3D8ADDC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江苏省镇江市</w:t>
            </w:r>
          </w:p>
        </w:tc>
        <w:tc>
          <w:tcPr>
            <w:tcW w:w="1205" w:type="dxa"/>
            <w:tcBorders>
              <w:top w:val="single" w:color="auto" w:sz="2" w:space="0"/>
              <w:left w:val="single" w:color="auto" w:sz="2" w:space="0"/>
              <w:bottom w:val="single" w:color="auto" w:sz="2" w:space="0"/>
              <w:right w:val="single" w:color="auto" w:sz="2" w:space="0"/>
            </w:tcBorders>
            <w:vAlign w:val="center"/>
          </w:tcPr>
          <w:p w14:paraId="28C731E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中药制剂的生产与销售</w:t>
            </w:r>
          </w:p>
        </w:tc>
        <w:tc>
          <w:tcPr>
            <w:tcW w:w="1205" w:type="dxa"/>
            <w:tcBorders>
              <w:top w:val="single" w:color="auto" w:sz="2" w:space="0"/>
              <w:left w:val="single" w:color="auto" w:sz="2" w:space="0"/>
              <w:bottom w:val="single" w:color="auto" w:sz="2" w:space="0"/>
              <w:right w:val="single" w:color="auto" w:sz="2" w:space="0"/>
            </w:tcBorders>
            <w:vAlign w:val="center"/>
          </w:tcPr>
          <w:p w14:paraId="27C7338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45C1C811">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92E1B9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非同一控制下合并取得</w:t>
            </w:r>
          </w:p>
        </w:tc>
      </w:tr>
      <w:tr w14:paraId="123F93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2BC4641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福建广生中霖生物科技有限公司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741D26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388,500,000.00</w:t>
            </w:r>
          </w:p>
        </w:tc>
        <w:tc>
          <w:tcPr>
            <w:tcW w:w="1205" w:type="dxa"/>
            <w:tcBorders>
              <w:top w:val="single" w:color="auto" w:sz="2" w:space="0"/>
              <w:left w:val="single" w:color="auto" w:sz="2" w:space="0"/>
              <w:bottom w:val="single" w:color="auto" w:sz="2" w:space="0"/>
              <w:right w:val="single" w:color="auto" w:sz="2" w:space="0"/>
            </w:tcBorders>
            <w:vAlign w:val="center"/>
          </w:tcPr>
          <w:p w14:paraId="3642803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3F063C3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202D713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医药研究和实验发展</w:t>
            </w:r>
          </w:p>
        </w:tc>
        <w:tc>
          <w:tcPr>
            <w:tcW w:w="1205" w:type="dxa"/>
            <w:tcBorders>
              <w:top w:val="single" w:color="auto" w:sz="2" w:space="0"/>
              <w:left w:val="single" w:color="auto" w:sz="2" w:space="0"/>
              <w:bottom w:val="single" w:color="auto" w:sz="2" w:space="0"/>
              <w:right w:val="single" w:color="auto" w:sz="2" w:space="0"/>
            </w:tcBorders>
            <w:vAlign w:val="center"/>
          </w:tcPr>
          <w:p w14:paraId="567F42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81.08%</w:t>
            </w:r>
          </w:p>
        </w:tc>
        <w:tc>
          <w:tcPr>
            <w:tcW w:w="1205" w:type="dxa"/>
            <w:tcBorders>
              <w:top w:val="single" w:color="auto" w:sz="2" w:space="0"/>
              <w:left w:val="single" w:color="auto" w:sz="2" w:space="0"/>
              <w:bottom w:val="single" w:color="auto" w:sz="2" w:space="0"/>
              <w:right w:val="single" w:color="auto" w:sz="2" w:space="0"/>
            </w:tcBorders>
            <w:vAlign w:val="center"/>
          </w:tcPr>
          <w:p w14:paraId="649130E1">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A1699F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740F37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53FC1BC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广生中霖生物科技（上海）有限公司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3DB9AF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150,000,000.00</w:t>
            </w:r>
          </w:p>
        </w:tc>
        <w:tc>
          <w:tcPr>
            <w:tcW w:w="1205" w:type="dxa"/>
            <w:tcBorders>
              <w:top w:val="single" w:color="auto" w:sz="2" w:space="0"/>
              <w:left w:val="single" w:color="auto" w:sz="2" w:space="0"/>
              <w:bottom w:val="single" w:color="auto" w:sz="2" w:space="0"/>
              <w:right w:val="single" w:color="auto" w:sz="2" w:space="0"/>
            </w:tcBorders>
            <w:vAlign w:val="center"/>
          </w:tcPr>
          <w:p w14:paraId="6782957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上海市</w:t>
            </w:r>
          </w:p>
        </w:tc>
        <w:tc>
          <w:tcPr>
            <w:tcW w:w="1205" w:type="dxa"/>
            <w:tcBorders>
              <w:top w:val="single" w:color="auto" w:sz="2" w:space="0"/>
              <w:left w:val="single" w:color="auto" w:sz="2" w:space="0"/>
              <w:bottom w:val="single" w:color="auto" w:sz="2" w:space="0"/>
              <w:right w:val="single" w:color="auto" w:sz="2" w:space="0"/>
            </w:tcBorders>
            <w:vAlign w:val="center"/>
          </w:tcPr>
          <w:p w14:paraId="6A8AFD3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上海市</w:t>
            </w:r>
          </w:p>
        </w:tc>
        <w:tc>
          <w:tcPr>
            <w:tcW w:w="1205" w:type="dxa"/>
            <w:tcBorders>
              <w:top w:val="single" w:color="auto" w:sz="2" w:space="0"/>
              <w:left w:val="single" w:color="auto" w:sz="2" w:space="0"/>
              <w:bottom w:val="single" w:color="auto" w:sz="2" w:space="0"/>
              <w:right w:val="single" w:color="auto" w:sz="2" w:space="0"/>
            </w:tcBorders>
            <w:vAlign w:val="center"/>
          </w:tcPr>
          <w:p w14:paraId="6E957B9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医药研究和实验发展</w:t>
            </w:r>
          </w:p>
        </w:tc>
        <w:tc>
          <w:tcPr>
            <w:tcW w:w="1205" w:type="dxa"/>
            <w:tcBorders>
              <w:top w:val="single" w:color="auto" w:sz="2" w:space="0"/>
              <w:left w:val="single" w:color="auto" w:sz="2" w:space="0"/>
              <w:bottom w:val="single" w:color="auto" w:sz="2" w:space="0"/>
              <w:right w:val="single" w:color="auto" w:sz="2" w:space="0"/>
            </w:tcBorders>
            <w:vAlign w:val="center"/>
          </w:tcPr>
          <w:p w14:paraId="30C55413">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FC65E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81.08%</w:t>
            </w:r>
          </w:p>
        </w:tc>
        <w:tc>
          <w:tcPr>
            <w:tcW w:w="1205" w:type="dxa"/>
            <w:tcBorders>
              <w:top w:val="single" w:color="auto" w:sz="2" w:space="0"/>
              <w:left w:val="single" w:color="auto" w:sz="2" w:space="0"/>
              <w:bottom w:val="single" w:color="auto" w:sz="2" w:space="0"/>
              <w:right w:val="single" w:color="auto" w:sz="2" w:space="0"/>
            </w:tcBorders>
            <w:vAlign w:val="center"/>
          </w:tcPr>
          <w:p w14:paraId="36E7D00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28EE29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281B701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北京广生中霖生物科技有限公司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7EE1EE6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90,000,000.00</w:t>
            </w:r>
          </w:p>
        </w:tc>
        <w:tc>
          <w:tcPr>
            <w:tcW w:w="1205" w:type="dxa"/>
            <w:tcBorders>
              <w:top w:val="single" w:color="auto" w:sz="2" w:space="0"/>
              <w:left w:val="single" w:color="auto" w:sz="2" w:space="0"/>
              <w:bottom w:val="single" w:color="auto" w:sz="2" w:space="0"/>
              <w:right w:val="single" w:color="auto" w:sz="2" w:space="0"/>
            </w:tcBorders>
            <w:vAlign w:val="center"/>
          </w:tcPr>
          <w:p w14:paraId="1B13D25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北京市</w:t>
            </w:r>
          </w:p>
        </w:tc>
        <w:tc>
          <w:tcPr>
            <w:tcW w:w="1205" w:type="dxa"/>
            <w:tcBorders>
              <w:top w:val="single" w:color="auto" w:sz="2" w:space="0"/>
              <w:left w:val="single" w:color="auto" w:sz="2" w:space="0"/>
              <w:bottom w:val="single" w:color="auto" w:sz="2" w:space="0"/>
              <w:right w:val="single" w:color="auto" w:sz="2" w:space="0"/>
            </w:tcBorders>
            <w:vAlign w:val="center"/>
          </w:tcPr>
          <w:p w14:paraId="7FFBDB2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北京市</w:t>
            </w:r>
          </w:p>
        </w:tc>
        <w:tc>
          <w:tcPr>
            <w:tcW w:w="1205" w:type="dxa"/>
            <w:tcBorders>
              <w:top w:val="single" w:color="auto" w:sz="2" w:space="0"/>
              <w:left w:val="single" w:color="auto" w:sz="2" w:space="0"/>
              <w:bottom w:val="single" w:color="auto" w:sz="2" w:space="0"/>
              <w:right w:val="single" w:color="auto" w:sz="2" w:space="0"/>
            </w:tcBorders>
            <w:vAlign w:val="center"/>
          </w:tcPr>
          <w:p w14:paraId="649CE70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医药研究和实验发展</w:t>
            </w:r>
          </w:p>
        </w:tc>
        <w:tc>
          <w:tcPr>
            <w:tcW w:w="1205" w:type="dxa"/>
            <w:tcBorders>
              <w:top w:val="single" w:color="auto" w:sz="2" w:space="0"/>
              <w:left w:val="single" w:color="auto" w:sz="2" w:space="0"/>
              <w:bottom w:val="single" w:color="auto" w:sz="2" w:space="0"/>
              <w:right w:val="single" w:color="auto" w:sz="2" w:space="0"/>
            </w:tcBorders>
            <w:vAlign w:val="center"/>
          </w:tcPr>
          <w:p w14:paraId="79D3FDD6">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BAC34B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81.08%</w:t>
            </w:r>
          </w:p>
        </w:tc>
        <w:tc>
          <w:tcPr>
            <w:tcW w:w="1205" w:type="dxa"/>
            <w:tcBorders>
              <w:top w:val="single" w:color="auto" w:sz="2" w:space="0"/>
              <w:left w:val="single" w:color="auto" w:sz="2" w:space="0"/>
              <w:bottom w:val="single" w:color="auto" w:sz="2" w:space="0"/>
              <w:right w:val="single" w:color="auto" w:sz="2" w:space="0"/>
            </w:tcBorders>
            <w:vAlign w:val="center"/>
          </w:tcPr>
          <w:p w14:paraId="3109A90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5F268C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843A64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广喆来药业（福建）有限公司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15F458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50,000,000.00</w:t>
            </w:r>
          </w:p>
        </w:tc>
        <w:tc>
          <w:tcPr>
            <w:tcW w:w="1205" w:type="dxa"/>
            <w:tcBorders>
              <w:top w:val="single" w:color="auto" w:sz="2" w:space="0"/>
              <w:left w:val="single" w:color="auto" w:sz="2" w:space="0"/>
              <w:bottom w:val="single" w:color="auto" w:sz="2" w:space="0"/>
              <w:right w:val="single" w:color="auto" w:sz="2" w:space="0"/>
            </w:tcBorders>
            <w:vAlign w:val="center"/>
          </w:tcPr>
          <w:p w14:paraId="0B06994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4EE1925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福建省宁德市</w:t>
            </w:r>
          </w:p>
        </w:tc>
        <w:tc>
          <w:tcPr>
            <w:tcW w:w="1205" w:type="dxa"/>
            <w:tcBorders>
              <w:top w:val="single" w:color="auto" w:sz="2" w:space="0"/>
              <w:left w:val="single" w:color="auto" w:sz="2" w:space="0"/>
              <w:bottom w:val="single" w:color="auto" w:sz="2" w:space="0"/>
              <w:right w:val="single" w:color="auto" w:sz="2" w:space="0"/>
            </w:tcBorders>
            <w:vAlign w:val="center"/>
          </w:tcPr>
          <w:p w14:paraId="031483D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医药销售</w:t>
            </w:r>
          </w:p>
        </w:tc>
        <w:tc>
          <w:tcPr>
            <w:tcW w:w="1205" w:type="dxa"/>
            <w:tcBorders>
              <w:top w:val="single" w:color="auto" w:sz="2" w:space="0"/>
              <w:left w:val="single" w:color="auto" w:sz="2" w:space="0"/>
              <w:bottom w:val="single" w:color="auto" w:sz="2" w:space="0"/>
              <w:right w:val="single" w:color="auto" w:sz="2" w:space="0"/>
            </w:tcBorders>
            <w:vAlign w:val="center"/>
          </w:tcPr>
          <w:p w14:paraId="0D74D2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170205A5">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8A8717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293851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DEBDF6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广福来（北京）国际生物技术有限公司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213211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50,000,000.00</w:t>
            </w:r>
          </w:p>
        </w:tc>
        <w:tc>
          <w:tcPr>
            <w:tcW w:w="1205" w:type="dxa"/>
            <w:tcBorders>
              <w:top w:val="single" w:color="auto" w:sz="2" w:space="0"/>
              <w:left w:val="single" w:color="auto" w:sz="2" w:space="0"/>
              <w:bottom w:val="single" w:color="auto" w:sz="2" w:space="0"/>
              <w:right w:val="single" w:color="auto" w:sz="2" w:space="0"/>
            </w:tcBorders>
            <w:vAlign w:val="center"/>
          </w:tcPr>
          <w:p w14:paraId="5178826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北京市</w:t>
            </w:r>
          </w:p>
        </w:tc>
        <w:tc>
          <w:tcPr>
            <w:tcW w:w="1205" w:type="dxa"/>
            <w:tcBorders>
              <w:top w:val="single" w:color="auto" w:sz="2" w:space="0"/>
              <w:left w:val="single" w:color="auto" w:sz="2" w:space="0"/>
              <w:bottom w:val="single" w:color="auto" w:sz="2" w:space="0"/>
              <w:right w:val="single" w:color="auto" w:sz="2" w:space="0"/>
            </w:tcBorders>
            <w:vAlign w:val="center"/>
          </w:tcPr>
          <w:p w14:paraId="7DC5838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北京市</w:t>
            </w:r>
          </w:p>
        </w:tc>
        <w:tc>
          <w:tcPr>
            <w:tcW w:w="1205" w:type="dxa"/>
            <w:tcBorders>
              <w:top w:val="single" w:color="auto" w:sz="2" w:space="0"/>
              <w:left w:val="single" w:color="auto" w:sz="2" w:space="0"/>
              <w:bottom w:val="single" w:color="auto" w:sz="2" w:space="0"/>
              <w:right w:val="single" w:color="auto" w:sz="2" w:space="0"/>
            </w:tcBorders>
            <w:vAlign w:val="center"/>
          </w:tcPr>
          <w:p w14:paraId="4B7E256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技术服务及进出口</w:t>
            </w:r>
          </w:p>
        </w:tc>
        <w:tc>
          <w:tcPr>
            <w:tcW w:w="1205" w:type="dxa"/>
            <w:tcBorders>
              <w:top w:val="single" w:color="auto" w:sz="2" w:space="0"/>
              <w:left w:val="single" w:color="auto" w:sz="2" w:space="0"/>
              <w:bottom w:val="single" w:color="auto" w:sz="2" w:space="0"/>
              <w:right w:val="single" w:color="auto" w:sz="2" w:space="0"/>
            </w:tcBorders>
            <w:vAlign w:val="center"/>
          </w:tcPr>
          <w:p w14:paraId="05A15A2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70.00%</w:t>
            </w:r>
          </w:p>
        </w:tc>
        <w:tc>
          <w:tcPr>
            <w:tcW w:w="1205" w:type="dxa"/>
            <w:tcBorders>
              <w:top w:val="single" w:color="auto" w:sz="2" w:space="0"/>
              <w:left w:val="single" w:color="auto" w:sz="2" w:space="0"/>
              <w:bottom w:val="single" w:color="auto" w:sz="2" w:space="0"/>
              <w:right w:val="single" w:color="auto" w:sz="2" w:space="0"/>
            </w:tcBorders>
            <w:vAlign w:val="center"/>
          </w:tcPr>
          <w:p w14:paraId="5813F43E">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F6CDD1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r w14:paraId="023747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DA2592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广生堂药业（漳州）有限公司</w:t>
            </w:r>
          </w:p>
        </w:tc>
        <w:tc>
          <w:tcPr>
            <w:tcW w:w="1205" w:type="dxa"/>
            <w:tcBorders>
              <w:top w:val="single" w:color="auto" w:sz="2" w:space="0"/>
              <w:left w:val="single" w:color="auto" w:sz="2" w:space="0"/>
              <w:bottom w:val="single" w:color="auto" w:sz="2" w:space="0"/>
              <w:right w:val="single" w:color="auto" w:sz="2" w:space="0"/>
            </w:tcBorders>
            <w:vAlign w:val="center"/>
          </w:tcPr>
          <w:p w14:paraId="633566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49,000,000.00</w:t>
            </w:r>
          </w:p>
        </w:tc>
        <w:tc>
          <w:tcPr>
            <w:tcW w:w="1205" w:type="dxa"/>
            <w:tcBorders>
              <w:top w:val="single" w:color="auto" w:sz="2" w:space="0"/>
              <w:left w:val="single" w:color="auto" w:sz="2" w:space="0"/>
              <w:bottom w:val="single" w:color="auto" w:sz="2" w:space="0"/>
              <w:right w:val="single" w:color="auto" w:sz="2" w:space="0"/>
            </w:tcBorders>
            <w:vAlign w:val="center"/>
          </w:tcPr>
          <w:p w14:paraId="3F63565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漳州市</w:t>
            </w:r>
          </w:p>
        </w:tc>
        <w:tc>
          <w:tcPr>
            <w:tcW w:w="1205" w:type="dxa"/>
            <w:tcBorders>
              <w:top w:val="single" w:color="auto" w:sz="2" w:space="0"/>
              <w:left w:val="single" w:color="auto" w:sz="2" w:space="0"/>
              <w:bottom w:val="single" w:color="auto" w:sz="2" w:space="0"/>
              <w:right w:val="single" w:color="auto" w:sz="2" w:space="0"/>
            </w:tcBorders>
            <w:vAlign w:val="center"/>
          </w:tcPr>
          <w:p w14:paraId="1C8BCCB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漳州市</w:t>
            </w:r>
          </w:p>
        </w:tc>
        <w:tc>
          <w:tcPr>
            <w:tcW w:w="1205" w:type="dxa"/>
            <w:tcBorders>
              <w:top w:val="single" w:color="auto" w:sz="2" w:space="0"/>
              <w:left w:val="single" w:color="auto" w:sz="2" w:space="0"/>
              <w:bottom w:val="single" w:color="auto" w:sz="2" w:space="0"/>
              <w:right w:val="single" w:color="auto" w:sz="2" w:space="0"/>
            </w:tcBorders>
            <w:vAlign w:val="center"/>
          </w:tcPr>
          <w:p w14:paraId="6EEFA43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医药销售</w:t>
            </w:r>
          </w:p>
        </w:tc>
        <w:tc>
          <w:tcPr>
            <w:tcW w:w="1205" w:type="dxa"/>
            <w:tcBorders>
              <w:top w:val="single" w:color="auto" w:sz="2" w:space="0"/>
              <w:left w:val="single" w:color="auto" w:sz="2" w:space="0"/>
              <w:bottom w:val="single" w:color="auto" w:sz="2" w:space="0"/>
              <w:right w:val="single" w:color="auto" w:sz="2" w:space="0"/>
            </w:tcBorders>
            <w:vAlign w:val="center"/>
          </w:tcPr>
          <w:p w14:paraId="200069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205" w:type="dxa"/>
            <w:tcBorders>
              <w:top w:val="single" w:color="auto" w:sz="2" w:space="0"/>
              <w:left w:val="single" w:color="auto" w:sz="2" w:space="0"/>
              <w:bottom w:val="single" w:color="auto" w:sz="2" w:space="0"/>
              <w:right w:val="single" w:color="auto" w:sz="2" w:space="0"/>
            </w:tcBorders>
            <w:vAlign w:val="center"/>
          </w:tcPr>
          <w:p w14:paraId="3C852202">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7D3CD6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设立</w:t>
            </w:r>
          </w:p>
        </w:tc>
      </w:tr>
    </w:tbl>
    <w:p w14:paraId="5F750C8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在子公司的持股比例不同于表决权比例的说明：</w:t>
      </w:r>
    </w:p>
    <w:p w14:paraId="54D3605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持有半数或以下表决权但仍控制被投资单位、以及持有半数以上表决权但不控制被投资单位的依据：</w:t>
      </w:r>
    </w:p>
    <w:p w14:paraId="6382EE0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对于纳入合并范围的重要的结构化主体，控制的依据：</w:t>
      </w:r>
    </w:p>
    <w:p w14:paraId="33C7022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确定公司是代理人还是委托人的依据：</w:t>
      </w:r>
    </w:p>
    <w:p w14:paraId="296588C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8633F93">
      <w:pPr>
        <w:keepNext/>
        <w:keepLines/>
        <w:spacing w:before="300" w:after="300" w:line="280" w:lineRule="exact"/>
        <w:jc w:val="left"/>
        <w:outlineLvl w:val="3"/>
        <w:rPr>
          <w:rFonts w:ascii="宋体" w:hAnsi="宋体" w:eastAsia="宋体" w:cs="宋体"/>
          <w:b/>
          <w:bCs/>
          <w:color w:val="auto"/>
          <w:sz w:val="18"/>
          <w:szCs w:val="18"/>
        </w:rPr>
      </w:pPr>
      <w:bookmarkStart w:id="327" w:name="_Toc989303"/>
      <w:r>
        <w:rPr>
          <w:rFonts w:ascii="宋体" w:hAnsi="宋体" w:eastAsia="宋体" w:cs="宋体"/>
          <w:b/>
          <w:bCs/>
          <w:color w:val="auto"/>
          <w:sz w:val="18"/>
          <w:szCs w:val="18"/>
        </w:rPr>
        <w:t>（2）重要的非全资子公司</w:t>
      </w:r>
      <w:bookmarkEnd w:id="327"/>
    </w:p>
    <w:p w14:paraId="63517EE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0D8085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131C81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子公司名称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2F95D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少数股东持股比例</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48BB94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本期归属于少数股东的损益</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3D010A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本期向少数股东宣告分派的股利</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0B9F2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期末少数股东权益余额</w:t>
            </w:r>
          </w:p>
        </w:tc>
      </w:tr>
      <w:tr w14:paraId="00A41D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5004A1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福建广生中霖生物科技有限公司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327AF9E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18.92%</w:t>
            </w:r>
          </w:p>
        </w:tc>
        <w:tc>
          <w:tcPr>
            <w:tcW w:w="1928" w:type="dxa"/>
            <w:tcBorders>
              <w:top w:val="single" w:color="auto" w:sz="2" w:space="0"/>
              <w:left w:val="single" w:color="auto" w:sz="2" w:space="0"/>
              <w:bottom w:val="single" w:color="auto" w:sz="2" w:space="0"/>
              <w:right w:val="single" w:color="auto" w:sz="2" w:space="0"/>
            </w:tcBorders>
            <w:vAlign w:val="center"/>
          </w:tcPr>
          <w:p w14:paraId="3B9A969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-3,719,161.46</w:t>
            </w:r>
          </w:p>
        </w:tc>
        <w:tc>
          <w:tcPr>
            <w:tcW w:w="1928" w:type="dxa"/>
            <w:tcBorders>
              <w:top w:val="single" w:color="auto" w:sz="2" w:space="0"/>
              <w:left w:val="single" w:color="auto" w:sz="2" w:space="0"/>
              <w:bottom w:val="single" w:color="auto" w:sz="2" w:space="0"/>
              <w:right w:val="single" w:color="auto" w:sz="2" w:space="0"/>
            </w:tcBorders>
            <w:vAlign w:val="center"/>
          </w:tcPr>
          <w:p w14:paraId="4E148232">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9377A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32,879,936.39</w:t>
            </w:r>
          </w:p>
        </w:tc>
      </w:tr>
    </w:tbl>
    <w:p w14:paraId="45C3AE0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子公司少数股东的持股比例不同于表决权比例的说明：</w:t>
      </w:r>
    </w:p>
    <w:p w14:paraId="65E883A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20FD63F">
      <w:pPr>
        <w:keepNext/>
        <w:keepLines/>
        <w:spacing w:before="300" w:after="300" w:line="280" w:lineRule="exact"/>
        <w:jc w:val="left"/>
        <w:outlineLvl w:val="3"/>
        <w:rPr>
          <w:rFonts w:ascii="宋体" w:hAnsi="宋体" w:eastAsia="宋体" w:cs="宋体"/>
          <w:b/>
          <w:bCs/>
          <w:color w:val="auto"/>
          <w:sz w:val="18"/>
          <w:szCs w:val="18"/>
        </w:rPr>
      </w:pPr>
      <w:bookmarkStart w:id="328" w:name="_Toc989304"/>
      <w:r>
        <w:rPr>
          <w:rFonts w:ascii="宋体" w:hAnsi="宋体" w:eastAsia="宋体" w:cs="宋体"/>
          <w:b/>
          <w:bCs/>
          <w:color w:val="auto"/>
          <w:sz w:val="18"/>
          <w:szCs w:val="18"/>
        </w:rPr>
        <w:t>（3）重要非全资子公司的主要财务信息</w:t>
      </w:r>
      <w:bookmarkEnd w:id="328"/>
    </w:p>
    <w:p w14:paraId="66A3EEB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79C53A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F47712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子公司名称</w:t>
            </w:r>
          </w:p>
        </w:tc>
        <w:tc>
          <w:tcPr>
            <w:tcW w:w="444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15A25D4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44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2904ADC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3B06D5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CBAF141">
            <w:pPr>
              <w:rPr>
                <w:color w:val="auto"/>
              </w:rPr>
            </w:pP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0E22D0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9D3C96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非流动资产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5E6E00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资产合计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1E0A95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EC4639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非流动负债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7289D9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负债合计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FC18D7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5EEA2C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非流动资产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E3EB6C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资产合计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524BE3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0B3AFB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非流动负债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45FA7AF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负债合计</w:t>
            </w:r>
          </w:p>
        </w:tc>
      </w:tr>
      <w:tr w14:paraId="232833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5A5051C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福建广生中霖生物科技有限公司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39A7F2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84,843,379.21</w:t>
            </w:r>
          </w:p>
        </w:tc>
        <w:tc>
          <w:tcPr>
            <w:tcW w:w="741" w:type="dxa"/>
            <w:tcBorders>
              <w:top w:val="single" w:color="auto" w:sz="2" w:space="0"/>
              <w:left w:val="single" w:color="auto" w:sz="2" w:space="0"/>
              <w:bottom w:val="single" w:color="auto" w:sz="2" w:space="0"/>
              <w:right w:val="single" w:color="auto" w:sz="2" w:space="0"/>
            </w:tcBorders>
            <w:vAlign w:val="center"/>
          </w:tcPr>
          <w:p w14:paraId="37CB93C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418,495,815.20</w:t>
            </w:r>
          </w:p>
        </w:tc>
        <w:tc>
          <w:tcPr>
            <w:tcW w:w="741" w:type="dxa"/>
            <w:tcBorders>
              <w:top w:val="single" w:color="auto" w:sz="2" w:space="0"/>
              <w:left w:val="single" w:color="auto" w:sz="2" w:space="0"/>
              <w:bottom w:val="single" w:color="auto" w:sz="2" w:space="0"/>
              <w:right w:val="single" w:color="auto" w:sz="2" w:space="0"/>
            </w:tcBorders>
            <w:vAlign w:val="center"/>
          </w:tcPr>
          <w:p w14:paraId="1AE505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503,339,194.41</w:t>
            </w:r>
          </w:p>
        </w:tc>
        <w:tc>
          <w:tcPr>
            <w:tcW w:w="741" w:type="dxa"/>
            <w:tcBorders>
              <w:top w:val="single" w:color="auto" w:sz="2" w:space="0"/>
              <w:left w:val="single" w:color="auto" w:sz="2" w:space="0"/>
              <w:bottom w:val="single" w:color="auto" w:sz="2" w:space="0"/>
              <w:right w:val="single" w:color="auto" w:sz="2" w:space="0"/>
            </w:tcBorders>
            <w:vAlign w:val="center"/>
          </w:tcPr>
          <w:p w14:paraId="7FFDABD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298,932,894.12</w:t>
            </w:r>
          </w:p>
        </w:tc>
        <w:tc>
          <w:tcPr>
            <w:tcW w:w="741" w:type="dxa"/>
            <w:tcBorders>
              <w:top w:val="single" w:color="auto" w:sz="2" w:space="0"/>
              <w:left w:val="single" w:color="auto" w:sz="2" w:space="0"/>
              <w:bottom w:val="single" w:color="auto" w:sz="2" w:space="0"/>
              <w:right w:val="single" w:color="auto" w:sz="2" w:space="0"/>
            </w:tcBorders>
            <w:vAlign w:val="center"/>
          </w:tcPr>
          <w:p w14:paraId="6A08A5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30,612,072.01</w:t>
            </w:r>
          </w:p>
        </w:tc>
        <w:tc>
          <w:tcPr>
            <w:tcW w:w="741" w:type="dxa"/>
            <w:tcBorders>
              <w:top w:val="single" w:color="auto" w:sz="2" w:space="0"/>
              <w:left w:val="single" w:color="auto" w:sz="2" w:space="0"/>
              <w:bottom w:val="single" w:color="auto" w:sz="2" w:space="0"/>
              <w:right w:val="single" w:color="auto" w:sz="2" w:space="0"/>
            </w:tcBorders>
            <w:vAlign w:val="center"/>
          </w:tcPr>
          <w:p w14:paraId="23CF088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329,544,966.13</w:t>
            </w:r>
          </w:p>
        </w:tc>
        <w:tc>
          <w:tcPr>
            <w:tcW w:w="741" w:type="dxa"/>
            <w:tcBorders>
              <w:top w:val="single" w:color="auto" w:sz="2" w:space="0"/>
              <w:left w:val="single" w:color="auto" w:sz="2" w:space="0"/>
              <w:bottom w:val="single" w:color="auto" w:sz="2" w:space="0"/>
              <w:right w:val="single" w:color="auto" w:sz="2" w:space="0"/>
            </w:tcBorders>
            <w:vAlign w:val="center"/>
          </w:tcPr>
          <w:p w14:paraId="1F3F971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87,419,511.57</w:t>
            </w:r>
          </w:p>
        </w:tc>
        <w:tc>
          <w:tcPr>
            <w:tcW w:w="741" w:type="dxa"/>
            <w:tcBorders>
              <w:top w:val="single" w:color="auto" w:sz="2" w:space="0"/>
              <w:left w:val="single" w:color="auto" w:sz="2" w:space="0"/>
              <w:bottom w:val="single" w:color="auto" w:sz="2" w:space="0"/>
              <w:right w:val="single" w:color="auto" w:sz="2" w:space="0"/>
            </w:tcBorders>
            <w:vAlign w:val="center"/>
          </w:tcPr>
          <w:p w14:paraId="61F227F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425,926,522.10</w:t>
            </w:r>
          </w:p>
        </w:tc>
        <w:tc>
          <w:tcPr>
            <w:tcW w:w="741" w:type="dxa"/>
            <w:tcBorders>
              <w:top w:val="single" w:color="auto" w:sz="2" w:space="0"/>
              <w:left w:val="single" w:color="auto" w:sz="2" w:space="0"/>
              <w:bottom w:val="single" w:color="auto" w:sz="2" w:space="0"/>
              <w:right w:val="single" w:color="auto" w:sz="2" w:space="0"/>
            </w:tcBorders>
            <w:vAlign w:val="center"/>
          </w:tcPr>
          <w:p w14:paraId="6621B3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513,346,033.67</w:t>
            </w:r>
          </w:p>
        </w:tc>
        <w:tc>
          <w:tcPr>
            <w:tcW w:w="741" w:type="dxa"/>
            <w:tcBorders>
              <w:top w:val="single" w:color="auto" w:sz="2" w:space="0"/>
              <w:left w:val="single" w:color="auto" w:sz="2" w:space="0"/>
              <w:bottom w:val="single" w:color="auto" w:sz="2" w:space="0"/>
              <w:right w:val="single" w:color="auto" w:sz="2" w:space="0"/>
            </w:tcBorders>
            <w:vAlign w:val="center"/>
          </w:tcPr>
          <w:p w14:paraId="3FD4A5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289,014,817.74</w:t>
            </w:r>
          </w:p>
        </w:tc>
        <w:tc>
          <w:tcPr>
            <w:tcW w:w="741" w:type="dxa"/>
            <w:tcBorders>
              <w:top w:val="single" w:color="auto" w:sz="2" w:space="0"/>
              <w:left w:val="single" w:color="auto" w:sz="2" w:space="0"/>
              <w:bottom w:val="single" w:color="auto" w:sz="2" w:space="0"/>
              <w:right w:val="single" w:color="auto" w:sz="2" w:space="0"/>
            </w:tcBorders>
            <w:vAlign w:val="center"/>
          </w:tcPr>
          <w:p w14:paraId="48D6A22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30,878,562.78</w:t>
            </w:r>
          </w:p>
        </w:tc>
        <w:tc>
          <w:tcPr>
            <w:tcW w:w="741" w:type="dxa"/>
            <w:tcBorders>
              <w:top w:val="single" w:color="auto" w:sz="2" w:space="0"/>
              <w:left w:val="single" w:color="auto" w:sz="2" w:space="0"/>
              <w:bottom w:val="single" w:color="auto" w:sz="2" w:space="0"/>
              <w:right w:val="single" w:color="auto" w:sz="2" w:space="0"/>
            </w:tcBorders>
            <w:vAlign w:val="center"/>
          </w:tcPr>
          <w:p w14:paraId="119ED0B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319,893,380.52</w:t>
            </w:r>
          </w:p>
        </w:tc>
      </w:tr>
    </w:tbl>
    <w:p w14:paraId="2D0305C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18CAB8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7B4EF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子公司名称</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1A7F7E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DE2DE5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53AE3F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11E83C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C69C69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034B75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8FA939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综合收益总额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3587BB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经营活动现金流量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80F473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CF7DF2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3AA4D3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综合收益总额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2C70BD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经营活动现金流量</w:t>
            </w:r>
          </w:p>
        </w:tc>
      </w:tr>
      <w:tr w14:paraId="45D015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181578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福建广生中霖生物科技有限公司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2BBA469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8,016,244.06</w:t>
            </w:r>
          </w:p>
        </w:tc>
        <w:tc>
          <w:tcPr>
            <w:tcW w:w="1071" w:type="dxa"/>
            <w:tcBorders>
              <w:top w:val="single" w:color="auto" w:sz="2" w:space="0"/>
              <w:left w:val="single" w:color="auto" w:sz="2" w:space="0"/>
              <w:bottom w:val="single" w:color="auto" w:sz="2" w:space="0"/>
              <w:right w:val="single" w:color="auto" w:sz="2" w:space="0"/>
            </w:tcBorders>
            <w:vAlign w:val="center"/>
          </w:tcPr>
          <w:p w14:paraId="2546464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-19,658,424.87</w:t>
            </w:r>
          </w:p>
        </w:tc>
        <w:tc>
          <w:tcPr>
            <w:tcW w:w="1071" w:type="dxa"/>
            <w:tcBorders>
              <w:top w:val="single" w:color="auto" w:sz="2" w:space="0"/>
              <w:left w:val="single" w:color="auto" w:sz="2" w:space="0"/>
              <w:bottom w:val="single" w:color="auto" w:sz="2" w:space="0"/>
              <w:right w:val="single" w:color="auto" w:sz="2" w:space="0"/>
            </w:tcBorders>
            <w:vAlign w:val="center"/>
          </w:tcPr>
          <w:p w14:paraId="39C0FA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-19,658,424.87</w:t>
            </w:r>
          </w:p>
        </w:tc>
        <w:tc>
          <w:tcPr>
            <w:tcW w:w="1071" w:type="dxa"/>
            <w:tcBorders>
              <w:top w:val="single" w:color="auto" w:sz="2" w:space="0"/>
              <w:left w:val="single" w:color="auto" w:sz="2" w:space="0"/>
              <w:bottom w:val="single" w:color="auto" w:sz="2" w:space="0"/>
              <w:right w:val="single" w:color="auto" w:sz="2" w:space="0"/>
            </w:tcBorders>
            <w:vAlign w:val="center"/>
          </w:tcPr>
          <w:p w14:paraId="6E9E49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-20,927,312.99</w:t>
            </w:r>
          </w:p>
        </w:tc>
        <w:tc>
          <w:tcPr>
            <w:tcW w:w="1071" w:type="dxa"/>
            <w:tcBorders>
              <w:top w:val="single" w:color="auto" w:sz="2" w:space="0"/>
              <w:left w:val="single" w:color="auto" w:sz="2" w:space="0"/>
              <w:bottom w:val="single" w:color="auto" w:sz="2" w:space="0"/>
              <w:right w:val="single" w:color="auto" w:sz="2" w:space="0"/>
            </w:tcBorders>
            <w:vAlign w:val="center"/>
          </w:tcPr>
          <w:p w14:paraId="085F5D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27,552,450.35</w:t>
            </w:r>
          </w:p>
        </w:tc>
        <w:tc>
          <w:tcPr>
            <w:tcW w:w="1071" w:type="dxa"/>
            <w:tcBorders>
              <w:top w:val="single" w:color="auto" w:sz="2" w:space="0"/>
              <w:left w:val="single" w:color="auto" w:sz="2" w:space="0"/>
              <w:bottom w:val="single" w:color="auto" w:sz="2" w:space="0"/>
              <w:right w:val="single" w:color="auto" w:sz="2" w:space="0"/>
            </w:tcBorders>
            <w:vAlign w:val="center"/>
          </w:tcPr>
          <w:p w14:paraId="593D15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-439,786.92</w:t>
            </w:r>
          </w:p>
        </w:tc>
        <w:tc>
          <w:tcPr>
            <w:tcW w:w="1071" w:type="dxa"/>
            <w:tcBorders>
              <w:top w:val="single" w:color="auto" w:sz="2" w:space="0"/>
              <w:left w:val="single" w:color="auto" w:sz="2" w:space="0"/>
              <w:bottom w:val="single" w:color="auto" w:sz="2" w:space="0"/>
              <w:right w:val="single" w:color="auto" w:sz="2" w:space="0"/>
            </w:tcBorders>
            <w:vAlign w:val="center"/>
          </w:tcPr>
          <w:p w14:paraId="49B6BF2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-439,786.92</w:t>
            </w:r>
          </w:p>
        </w:tc>
        <w:tc>
          <w:tcPr>
            <w:tcW w:w="1071" w:type="dxa"/>
            <w:tcBorders>
              <w:top w:val="single" w:color="auto" w:sz="2" w:space="0"/>
              <w:left w:val="single" w:color="auto" w:sz="2" w:space="0"/>
              <w:bottom w:val="single" w:color="auto" w:sz="2" w:space="0"/>
              <w:right w:val="single" w:color="auto" w:sz="2" w:space="0"/>
            </w:tcBorders>
            <w:vAlign w:val="center"/>
          </w:tcPr>
          <w:p w14:paraId="15538C1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17,498,359.05</w:t>
            </w:r>
          </w:p>
        </w:tc>
      </w:tr>
    </w:tbl>
    <w:p w14:paraId="76EFC78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D19203C">
      <w:pPr>
        <w:keepNext/>
        <w:keepLines/>
        <w:spacing w:before="300" w:after="300" w:line="280" w:lineRule="exact"/>
        <w:jc w:val="left"/>
        <w:outlineLvl w:val="3"/>
        <w:rPr>
          <w:rFonts w:ascii="宋体" w:hAnsi="宋体" w:eastAsia="宋体" w:cs="宋体"/>
          <w:b/>
          <w:bCs/>
          <w:color w:val="auto"/>
          <w:sz w:val="18"/>
          <w:szCs w:val="18"/>
        </w:rPr>
      </w:pPr>
      <w:bookmarkStart w:id="329" w:name="_Toc989305"/>
      <w:r>
        <w:rPr>
          <w:rFonts w:ascii="宋体" w:hAnsi="宋体" w:eastAsia="宋体" w:cs="宋体"/>
          <w:b/>
          <w:bCs/>
          <w:color w:val="auto"/>
          <w:sz w:val="18"/>
          <w:szCs w:val="18"/>
        </w:rPr>
        <w:t>（4）使用企业集团资产和清偿企业集团债务的重大限制</w:t>
      </w:r>
      <w:bookmarkEnd w:id="329"/>
    </w:p>
    <w:p w14:paraId="2134A41F">
      <w:pPr>
        <w:keepNext/>
        <w:keepLines/>
        <w:spacing w:before="300" w:after="300" w:line="280" w:lineRule="exact"/>
        <w:jc w:val="left"/>
        <w:outlineLvl w:val="3"/>
        <w:rPr>
          <w:rFonts w:ascii="宋体" w:hAnsi="宋体" w:eastAsia="宋体" w:cs="宋体"/>
          <w:b/>
          <w:bCs/>
          <w:color w:val="auto"/>
          <w:sz w:val="18"/>
          <w:szCs w:val="18"/>
        </w:rPr>
      </w:pPr>
      <w:bookmarkStart w:id="330" w:name="_Toc989306"/>
      <w:r>
        <w:rPr>
          <w:rFonts w:ascii="宋体" w:hAnsi="宋体" w:eastAsia="宋体" w:cs="宋体"/>
          <w:b/>
          <w:bCs/>
          <w:color w:val="auto"/>
          <w:sz w:val="18"/>
          <w:szCs w:val="18"/>
        </w:rPr>
        <w:t>（5）向纳入合并财务报表范围的结构化主体提供的财务支持或其他支持</w:t>
      </w:r>
      <w:bookmarkEnd w:id="330"/>
    </w:p>
    <w:p w14:paraId="755613B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CC4903D">
      <w:pPr>
        <w:keepNext/>
        <w:keepLines/>
        <w:spacing w:before="300" w:after="300" w:line="280" w:lineRule="exact"/>
        <w:jc w:val="left"/>
        <w:outlineLvl w:val="2"/>
        <w:rPr>
          <w:rFonts w:ascii="宋体" w:hAnsi="宋体" w:eastAsia="宋体" w:cs="宋体"/>
          <w:b/>
          <w:bCs/>
          <w:color w:val="auto"/>
          <w:sz w:val="21"/>
          <w:szCs w:val="21"/>
        </w:rPr>
      </w:pPr>
      <w:bookmarkStart w:id="331" w:name="_Toc989307"/>
      <w:r>
        <w:rPr>
          <w:rFonts w:ascii="宋体" w:hAnsi="宋体" w:eastAsia="宋体" w:cs="宋体"/>
          <w:b/>
          <w:bCs/>
          <w:color w:val="auto"/>
          <w:sz w:val="21"/>
          <w:szCs w:val="21"/>
        </w:rPr>
        <w:t>2、在子公司的所有者权益份额发生变化且仍控制子公司的交易</w:t>
      </w:r>
      <w:bookmarkEnd w:id="331"/>
    </w:p>
    <w:p w14:paraId="2BC7DFF9">
      <w:pPr>
        <w:keepNext/>
        <w:keepLines/>
        <w:spacing w:before="300" w:after="300" w:line="280" w:lineRule="exact"/>
        <w:jc w:val="left"/>
        <w:outlineLvl w:val="3"/>
        <w:rPr>
          <w:rFonts w:ascii="宋体" w:hAnsi="宋体" w:eastAsia="宋体" w:cs="宋体"/>
          <w:b/>
          <w:bCs/>
          <w:color w:val="auto"/>
          <w:sz w:val="18"/>
          <w:szCs w:val="18"/>
        </w:rPr>
      </w:pPr>
      <w:bookmarkStart w:id="332" w:name="_Toc989308"/>
      <w:r>
        <w:rPr>
          <w:rFonts w:ascii="宋体" w:hAnsi="宋体" w:eastAsia="宋体" w:cs="宋体"/>
          <w:b/>
          <w:bCs/>
          <w:color w:val="auto"/>
          <w:sz w:val="18"/>
          <w:szCs w:val="18"/>
        </w:rPr>
        <w:t>（1）在子公司所有者权益份额发生变化的情况说明</w:t>
      </w:r>
      <w:bookmarkEnd w:id="332"/>
    </w:p>
    <w:p w14:paraId="347EE569">
      <w:pPr>
        <w:keepNext/>
        <w:keepLines/>
        <w:spacing w:before="300" w:after="300" w:line="280" w:lineRule="exact"/>
        <w:jc w:val="left"/>
        <w:outlineLvl w:val="3"/>
        <w:rPr>
          <w:rFonts w:ascii="宋体" w:hAnsi="宋体" w:eastAsia="宋体" w:cs="宋体"/>
          <w:b/>
          <w:bCs/>
          <w:color w:val="auto"/>
          <w:sz w:val="18"/>
          <w:szCs w:val="18"/>
        </w:rPr>
      </w:pPr>
      <w:bookmarkStart w:id="333" w:name="_Toc989309"/>
      <w:r>
        <w:rPr>
          <w:rFonts w:ascii="宋体" w:hAnsi="宋体" w:eastAsia="宋体" w:cs="宋体"/>
          <w:b/>
          <w:bCs/>
          <w:color w:val="auto"/>
          <w:sz w:val="18"/>
          <w:szCs w:val="18"/>
        </w:rPr>
        <w:t>（2）交易对于少数股东权益及归属于母公司所有者权益的影响</w:t>
      </w:r>
      <w:bookmarkEnd w:id="333"/>
    </w:p>
    <w:p w14:paraId="02ECDAC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2AECBF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DC06A4A">
            <w:pPr>
              <w:rPr>
                <w:color w:val="auto"/>
              </w:rPr>
            </w:pPr>
          </w:p>
        </w:tc>
        <w:tc>
          <w:tcPr>
            <w:tcW w:w="4820" w:type="dxa"/>
            <w:tcBorders>
              <w:top w:val="single" w:color="auto" w:sz="2" w:space="0"/>
              <w:left w:val="single" w:color="auto" w:sz="2" w:space="0"/>
              <w:bottom w:val="single" w:color="auto" w:sz="2" w:space="0"/>
              <w:right w:val="single" w:color="auto" w:sz="2" w:space="0"/>
            </w:tcBorders>
            <w:vAlign w:val="center"/>
          </w:tcPr>
          <w:p w14:paraId="15630502">
            <w:pPr>
              <w:spacing w:before="0" w:after="0" w:line="240" w:lineRule="exact"/>
              <w:jc w:val="center"/>
              <w:rPr>
                <w:rFonts w:ascii="宋体" w:hAnsi="宋体" w:eastAsia="宋体" w:cs="宋体"/>
                <w:color w:val="auto"/>
                <w:sz w:val="18"/>
                <w:szCs w:val="18"/>
              </w:rPr>
            </w:pPr>
          </w:p>
        </w:tc>
      </w:tr>
      <w:tr w14:paraId="7C5AC7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25106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购买成本/处置对价</w:t>
            </w:r>
          </w:p>
        </w:tc>
        <w:tc>
          <w:tcPr>
            <w:tcW w:w="4820" w:type="dxa"/>
            <w:tcBorders>
              <w:top w:val="single" w:color="auto" w:sz="2" w:space="0"/>
              <w:left w:val="single" w:color="auto" w:sz="2" w:space="0"/>
              <w:bottom w:val="single" w:color="auto" w:sz="2" w:space="0"/>
              <w:right w:val="single" w:color="auto" w:sz="2" w:space="0"/>
            </w:tcBorders>
            <w:vAlign w:val="center"/>
          </w:tcPr>
          <w:p w14:paraId="1BDC32BB">
            <w:pPr>
              <w:spacing w:before="0" w:after="0" w:line="240" w:lineRule="exact"/>
              <w:jc w:val="right"/>
              <w:rPr>
                <w:rFonts w:ascii="宋体" w:hAnsi="宋体" w:eastAsia="宋体" w:cs="宋体"/>
                <w:color w:val="auto"/>
                <w:sz w:val="18"/>
                <w:szCs w:val="18"/>
              </w:rPr>
            </w:pPr>
          </w:p>
        </w:tc>
      </w:tr>
      <w:tr w14:paraId="5586A6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98EE66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--现金</w:t>
            </w:r>
          </w:p>
        </w:tc>
        <w:tc>
          <w:tcPr>
            <w:tcW w:w="4820" w:type="dxa"/>
            <w:tcBorders>
              <w:top w:val="single" w:color="auto" w:sz="2" w:space="0"/>
              <w:left w:val="single" w:color="auto" w:sz="2" w:space="0"/>
              <w:bottom w:val="single" w:color="auto" w:sz="2" w:space="0"/>
              <w:right w:val="single" w:color="auto" w:sz="2" w:space="0"/>
            </w:tcBorders>
            <w:vAlign w:val="center"/>
          </w:tcPr>
          <w:p w14:paraId="313FC087">
            <w:pPr>
              <w:spacing w:before="0" w:after="0" w:line="240" w:lineRule="exact"/>
              <w:jc w:val="right"/>
              <w:rPr>
                <w:rFonts w:ascii="宋体" w:hAnsi="宋体" w:eastAsia="宋体" w:cs="宋体"/>
                <w:color w:val="auto"/>
                <w:sz w:val="18"/>
                <w:szCs w:val="18"/>
              </w:rPr>
            </w:pPr>
          </w:p>
        </w:tc>
      </w:tr>
      <w:tr w14:paraId="514B83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672660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--非现金资产的公允价值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0369B8D6">
            <w:pPr>
              <w:spacing w:before="0" w:after="0" w:line="240" w:lineRule="exact"/>
              <w:jc w:val="right"/>
              <w:rPr>
                <w:rFonts w:ascii="宋体" w:hAnsi="宋体" w:eastAsia="宋体" w:cs="宋体"/>
                <w:color w:val="auto"/>
                <w:sz w:val="18"/>
                <w:szCs w:val="18"/>
              </w:rPr>
            </w:pPr>
          </w:p>
        </w:tc>
      </w:tr>
      <w:tr w14:paraId="2ACB82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01178CFB">
            <w:pPr>
              <w:spacing w:before="0" w:after="0" w:line="240" w:lineRule="exact"/>
              <w:jc w:val="left"/>
              <w:rPr>
                <w:rFonts w:ascii="宋体" w:hAnsi="宋体" w:eastAsia="宋体" w:cs="宋体"/>
                <w:color w:val="auto"/>
                <w:sz w:val="18"/>
                <w:szCs w:val="18"/>
              </w:rPr>
            </w:pPr>
          </w:p>
        </w:tc>
        <w:tc>
          <w:tcPr>
            <w:tcW w:w="4820" w:type="dxa"/>
            <w:tcBorders>
              <w:top w:val="single" w:color="auto" w:sz="2" w:space="0"/>
              <w:left w:val="single" w:color="auto" w:sz="2" w:space="0"/>
              <w:bottom w:val="single" w:color="auto" w:sz="2" w:space="0"/>
              <w:right w:val="single" w:color="auto" w:sz="2" w:space="0"/>
            </w:tcBorders>
            <w:vAlign w:val="center"/>
          </w:tcPr>
          <w:p w14:paraId="4DDFEFA7">
            <w:pPr>
              <w:spacing w:before="0" w:after="0" w:line="240" w:lineRule="exact"/>
              <w:jc w:val="right"/>
              <w:rPr>
                <w:rFonts w:ascii="宋体" w:hAnsi="宋体" w:eastAsia="宋体" w:cs="宋体"/>
                <w:color w:val="auto"/>
                <w:sz w:val="18"/>
                <w:szCs w:val="18"/>
              </w:rPr>
            </w:pPr>
          </w:p>
        </w:tc>
      </w:tr>
      <w:tr w14:paraId="2B6547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2F163A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购买成本/处置对价合计</w:t>
            </w:r>
          </w:p>
        </w:tc>
        <w:tc>
          <w:tcPr>
            <w:tcW w:w="4820" w:type="dxa"/>
            <w:tcBorders>
              <w:top w:val="single" w:color="auto" w:sz="2" w:space="0"/>
              <w:left w:val="single" w:color="auto" w:sz="2" w:space="0"/>
              <w:bottom w:val="single" w:color="auto" w:sz="2" w:space="0"/>
              <w:right w:val="single" w:color="auto" w:sz="2" w:space="0"/>
            </w:tcBorders>
            <w:vAlign w:val="center"/>
          </w:tcPr>
          <w:p w14:paraId="19D3D4A8">
            <w:pPr>
              <w:spacing w:before="0" w:after="0" w:line="240" w:lineRule="exact"/>
              <w:jc w:val="right"/>
              <w:rPr>
                <w:rFonts w:ascii="宋体" w:hAnsi="宋体" w:eastAsia="宋体" w:cs="宋体"/>
                <w:color w:val="auto"/>
                <w:sz w:val="18"/>
                <w:szCs w:val="18"/>
              </w:rPr>
            </w:pPr>
          </w:p>
        </w:tc>
      </w:tr>
      <w:tr w14:paraId="5BB3BB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24E20E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减：按取得/处置的股权比例计算的子公司净资产份额</w:t>
            </w:r>
          </w:p>
        </w:tc>
        <w:tc>
          <w:tcPr>
            <w:tcW w:w="4820" w:type="dxa"/>
            <w:tcBorders>
              <w:top w:val="single" w:color="auto" w:sz="2" w:space="0"/>
              <w:left w:val="single" w:color="auto" w:sz="2" w:space="0"/>
              <w:bottom w:val="single" w:color="auto" w:sz="2" w:space="0"/>
              <w:right w:val="single" w:color="auto" w:sz="2" w:space="0"/>
            </w:tcBorders>
            <w:vAlign w:val="center"/>
          </w:tcPr>
          <w:p w14:paraId="1DA09987">
            <w:pPr>
              <w:spacing w:before="0" w:after="0" w:line="240" w:lineRule="exact"/>
              <w:jc w:val="right"/>
              <w:rPr>
                <w:rFonts w:ascii="宋体" w:hAnsi="宋体" w:eastAsia="宋体" w:cs="宋体"/>
                <w:color w:val="auto"/>
                <w:sz w:val="18"/>
                <w:szCs w:val="18"/>
              </w:rPr>
            </w:pPr>
          </w:p>
        </w:tc>
      </w:tr>
      <w:tr w14:paraId="5F53C3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EC7E19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差额</w:t>
            </w:r>
          </w:p>
        </w:tc>
        <w:tc>
          <w:tcPr>
            <w:tcW w:w="4820" w:type="dxa"/>
            <w:tcBorders>
              <w:top w:val="single" w:color="auto" w:sz="2" w:space="0"/>
              <w:left w:val="single" w:color="auto" w:sz="2" w:space="0"/>
              <w:bottom w:val="single" w:color="auto" w:sz="2" w:space="0"/>
              <w:right w:val="single" w:color="auto" w:sz="2" w:space="0"/>
            </w:tcBorders>
            <w:vAlign w:val="center"/>
          </w:tcPr>
          <w:p w14:paraId="08996B8D">
            <w:pPr>
              <w:spacing w:before="0" w:after="0" w:line="240" w:lineRule="exact"/>
              <w:jc w:val="right"/>
              <w:rPr>
                <w:rFonts w:ascii="宋体" w:hAnsi="宋体" w:eastAsia="宋体" w:cs="宋体"/>
                <w:color w:val="auto"/>
                <w:sz w:val="18"/>
                <w:szCs w:val="18"/>
              </w:rPr>
            </w:pPr>
          </w:p>
        </w:tc>
      </w:tr>
      <w:tr w14:paraId="58A4C9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711129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其中：调整资本公积</w:t>
            </w:r>
          </w:p>
        </w:tc>
        <w:tc>
          <w:tcPr>
            <w:tcW w:w="4820" w:type="dxa"/>
            <w:tcBorders>
              <w:top w:val="single" w:color="auto" w:sz="2" w:space="0"/>
              <w:left w:val="single" w:color="auto" w:sz="2" w:space="0"/>
              <w:bottom w:val="single" w:color="auto" w:sz="2" w:space="0"/>
              <w:right w:val="single" w:color="auto" w:sz="2" w:space="0"/>
            </w:tcBorders>
            <w:vAlign w:val="center"/>
          </w:tcPr>
          <w:p w14:paraId="081605C3">
            <w:pPr>
              <w:spacing w:before="0" w:after="0" w:line="240" w:lineRule="exact"/>
              <w:jc w:val="right"/>
              <w:rPr>
                <w:rFonts w:ascii="宋体" w:hAnsi="宋体" w:eastAsia="宋体" w:cs="宋体"/>
                <w:color w:val="auto"/>
                <w:sz w:val="18"/>
                <w:szCs w:val="18"/>
              </w:rPr>
            </w:pPr>
          </w:p>
        </w:tc>
      </w:tr>
      <w:tr w14:paraId="234E61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81AA620">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调整盈余公积</w:t>
            </w:r>
          </w:p>
        </w:tc>
        <w:tc>
          <w:tcPr>
            <w:tcW w:w="4820" w:type="dxa"/>
            <w:tcBorders>
              <w:top w:val="single" w:color="auto" w:sz="2" w:space="0"/>
              <w:left w:val="single" w:color="auto" w:sz="2" w:space="0"/>
              <w:bottom w:val="single" w:color="auto" w:sz="2" w:space="0"/>
              <w:right w:val="single" w:color="auto" w:sz="2" w:space="0"/>
            </w:tcBorders>
            <w:vAlign w:val="center"/>
          </w:tcPr>
          <w:p w14:paraId="1B08E394">
            <w:pPr>
              <w:spacing w:before="0" w:after="0" w:line="240" w:lineRule="exact"/>
              <w:jc w:val="right"/>
              <w:rPr>
                <w:rFonts w:ascii="宋体" w:hAnsi="宋体" w:eastAsia="宋体" w:cs="宋体"/>
                <w:color w:val="auto"/>
                <w:sz w:val="18"/>
                <w:szCs w:val="18"/>
              </w:rPr>
            </w:pPr>
          </w:p>
        </w:tc>
      </w:tr>
      <w:tr w14:paraId="73AF75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AC0D525">
            <w:pPr>
              <w:spacing w:before="40" w:after="40" w:line="240" w:lineRule="exact"/>
              <w:ind w:firstLine="540" w:firstLineChars="300"/>
              <w:jc w:val="left"/>
              <w:rPr>
                <w:rFonts w:ascii="宋体" w:hAnsi="宋体" w:eastAsia="宋体" w:cs="宋体"/>
                <w:color w:val="auto"/>
                <w:sz w:val="18"/>
                <w:szCs w:val="18"/>
              </w:rPr>
            </w:pPr>
            <w:r>
              <w:rPr>
                <w:rFonts w:ascii="宋体" w:hAnsi="宋体" w:eastAsia="宋体" w:cs="宋体"/>
                <w:color w:val="auto"/>
                <w:sz w:val="18"/>
                <w:szCs w:val="18"/>
              </w:rPr>
              <w:t>调整未分配利润</w:t>
            </w:r>
          </w:p>
        </w:tc>
        <w:tc>
          <w:tcPr>
            <w:tcW w:w="4820" w:type="dxa"/>
            <w:tcBorders>
              <w:top w:val="single" w:color="auto" w:sz="2" w:space="0"/>
              <w:left w:val="single" w:color="auto" w:sz="2" w:space="0"/>
              <w:bottom w:val="single" w:color="auto" w:sz="2" w:space="0"/>
              <w:right w:val="single" w:color="auto" w:sz="2" w:space="0"/>
            </w:tcBorders>
            <w:vAlign w:val="center"/>
          </w:tcPr>
          <w:p w14:paraId="0D1CE4BA">
            <w:pPr>
              <w:spacing w:before="0" w:after="0" w:line="240" w:lineRule="exact"/>
              <w:jc w:val="right"/>
              <w:rPr>
                <w:rFonts w:ascii="宋体" w:hAnsi="宋体" w:eastAsia="宋体" w:cs="宋体"/>
                <w:color w:val="auto"/>
                <w:sz w:val="18"/>
                <w:szCs w:val="18"/>
              </w:rPr>
            </w:pPr>
          </w:p>
        </w:tc>
      </w:tr>
    </w:tbl>
    <w:p w14:paraId="1242C67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B89E657">
      <w:pPr>
        <w:keepNext/>
        <w:keepLines/>
        <w:spacing w:before="300" w:after="300" w:line="280" w:lineRule="exact"/>
        <w:jc w:val="left"/>
        <w:outlineLvl w:val="2"/>
        <w:rPr>
          <w:rFonts w:ascii="宋体" w:hAnsi="宋体" w:eastAsia="宋体" w:cs="宋体"/>
          <w:b/>
          <w:bCs/>
          <w:color w:val="auto"/>
          <w:sz w:val="21"/>
          <w:szCs w:val="21"/>
        </w:rPr>
      </w:pPr>
      <w:bookmarkStart w:id="334" w:name="_Toc989310"/>
      <w:r>
        <w:rPr>
          <w:rFonts w:ascii="宋体" w:hAnsi="宋体" w:eastAsia="宋体" w:cs="宋体"/>
          <w:b/>
          <w:bCs/>
          <w:color w:val="auto"/>
          <w:sz w:val="21"/>
          <w:szCs w:val="21"/>
        </w:rPr>
        <w:t>3、在合营企业或联营企业中的权益</w:t>
      </w:r>
      <w:bookmarkEnd w:id="334"/>
    </w:p>
    <w:p w14:paraId="73C9C738">
      <w:pPr>
        <w:keepNext/>
        <w:keepLines/>
        <w:spacing w:before="300" w:after="300" w:line="280" w:lineRule="exact"/>
        <w:jc w:val="left"/>
        <w:outlineLvl w:val="3"/>
        <w:rPr>
          <w:rFonts w:ascii="宋体" w:hAnsi="宋体" w:eastAsia="宋体" w:cs="宋体"/>
          <w:b/>
          <w:bCs/>
          <w:color w:val="auto"/>
          <w:sz w:val="21"/>
          <w:szCs w:val="21"/>
        </w:rPr>
      </w:pPr>
      <w:bookmarkStart w:id="335" w:name="_Toc989311"/>
      <w:r>
        <w:rPr>
          <w:rFonts w:ascii="宋体" w:hAnsi="宋体" w:eastAsia="宋体" w:cs="宋体"/>
          <w:b/>
          <w:bCs/>
          <w:color w:val="auto"/>
          <w:sz w:val="21"/>
          <w:szCs w:val="21"/>
        </w:rPr>
        <w:t>（1）重要的合营企业或联营企业</w:t>
      </w:r>
      <w:bookmarkEnd w:id="335"/>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A6969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2BBCE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合营企业或联营企业名称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F5490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主要经营地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B8F9CC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注册地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620751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业务性质</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021D9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持股比例</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AF89C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对合营企业或联营企业投资的会计处理方法</w:t>
            </w:r>
          </w:p>
        </w:tc>
      </w:tr>
      <w:tr w14:paraId="47DF98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281CEAE">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FDA361F">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4B10D0">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EC9F27">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50E7D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直接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514DE5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间接</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16872D">
            <w:pPr>
              <w:rPr>
                <w:color w:val="auto"/>
              </w:rPr>
            </w:pPr>
          </w:p>
        </w:tc>
      </w:tr>
      <w:tr w14:paraId="7DD4B0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884E18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福建博奥医学检验所有限公司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7752E90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福建省福州市</w:t>
            </w:r>
          </w:p>
        </w:tc>
        <w:tc>
          <w:tcPr>
            <w:tcW w:w="1377" w:type="dxa"/>
            <w:tcBorders>
              <w:top w:val="single" w:color="auto" w:sz="2" w:space="0"/>
              <w:left w:val="single" w:color="auto" w:sz="2" w:space="0"/>
              <w:bottom w:val="single" w:color="auto" w:sz="2" w:space="0"/>
              <w:right w:val="single" w:color="auto" w:sz="2" w:space="0"/>
            </w:tcBorders>
            <w:vAlign w:val="center"/>
          </w:tcPr>
          <w:p w14:paraId="35C473C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福建省福州市</w:t>
            </w:r>
          </w:p>
        </w:tc>
        <w:tc>
          <w:tcPr>
            <w:tcW w:w="1377" w:type="dxa"/>
            <w:tcBorders>
              <w:top w:val="single" w:color="auto" w:sz="2" w:space="0"/>
              <w:left w:val="single" w:color="auto" w:sz="2" w:space="0"/>
              <w:bottom w:val="single" w:color="auto" w:sz="2" w:space="0"/>
              <w:right w:val="single" w:color="auto" w:sz="2" w:space="0"/>
            </w:tcBorders>
            <w:vAlign w:val="center"/>
          </w:tcPr>
          <w:p w14:paraId="6B4113E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临床检验服务、生物科学技术研究服务、对医疗业的投资</w:t>
            </w:r>
          </w:p>
        </w:tc>
        <w:tc>
          <w:tcPr>
            <w:tcW w:w="1377" w:type="dxa"/>
            <w:tcBorders>
              <w:top w:val="single" w:color="auto" w:sz="2" w:space="0"/>
              <w:left w:val="single" w:color="auto" w:sz="2" w:space="0"/>
              <w:bottom w:val="single" w:color="auto" w:sz="2" w:space="0"/>
              <w:right w:val="single" w:color="auto" w:sz="2" w:space="0"/>
            </w:tcBorders>
            <w:vAlign w:val="center"/>
          </w:tcPr>
          <w:p w14:paraId="45360A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49.00%</w:t>
            </w:r>
          </w:p>
        </w:tc>
        <w:tc>
          <w:tcPr>
            <w:tcW w:w="1377" w:type="dxa"/>
            <w:tcBorders>
              <w:top w:val="single" w:color="auto" w:sz="2" w:space="0"/>
              <w:left w:val="single" w:color="auto" w:sz="2" w:space="0"/>
              <w:bottom w:val="single" w:color="auto" w:sz="2" w:space="0"/>
              <w:right w:val="single" w:color="auto" w:sz="2" w:space="0"/>
            </w:tcBorders>
            <w:vAlign w:val="center"/>
          </w:tcPr>
          <w:p w14:paraId="16357BD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547603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权益法</w:t>
            </w:r>
          </w:p>
        </w:tc>
      </w:tr>
      <w:tr w14:paraId="1991E4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0CE1A0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福建广明方医药投资研发中心（有限合伙）</w:t>
            </w:r>
          </w:p>
        </w:tc>
        <w:tc>
          <w:tcPr>
            <w:tcW w:w="1377" w:type="dxa"/>
            <w:tcBorders>
              <w:top w:val="single" w:color="auto" w:sz="2" w:space="0"/>
              <w:left w:val="single" w:color="auto" w:sz="2" w:space="0"/>
              <w:bottom w:val="single" w:color="auto" w:sz="2" w:space="0"/>
              <w:right w:val="single" w:color="auto" w:sz="2" w:space="0"/>
            </w:tcBorders>
            <w:vAlign w:val="center"/>
          </w:tcPr>
          <w:p w14:paraId="1149151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福建省福州市</w:t>
            </w:r>
          </w:p>
        </w:tc>
        <w:tc>
          <w:tcPr>
            <w:tcW w:w="1377" w:type="dxa"/>
            <w:tcBorders>
              <w:top w:val="single" w:color="auto" w:sz="2" w:space="0"/>
              <w:left w:val="single" w:color="auto" w:sz="2" w:space="0"/>
              <w:bottom w:val="single" w:color="auto" w:sz="2" w:space="0"/>
              <w:right w:val="single" w:color="auto" w:sz="2" w:space="0"/>
            </w:tcBorders>
            <w:vAlign w:val="center"/>
          </w:tcPr>
          <w:p w14:paraId="3489BD1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福建省福州市</w:t>
            </w:r>
          </w:p>
        </w:tc>
        <w:tc>
          <w:tcPr>
            <w:tcW w:w="1377" w:type="dxa"/>
            <w:tcBorders>
              <w:top w:val="single" w:color="auto" w:sz="2" w:space="0"/>
              <w:left w:val="single" w:color="auto" w:sz="2" w:space="0"/>
              <w:bottom w:val="single" w:color="auto" w:sz="2" w:space="0"/>
              <w:right w:val="single" w:color="auto" w:sz="2" w:space="0"/>
            </w:tcBorders>
            <w:vAlign w:val="center"/>
          </w:tcPr>
          <w:p w14:paraId="078C327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药品及医疗器械的研发</w:t>
            </w:r>
          </w:p>
        </w:tc>
        <w:tc>
          <w:tcPr>
            <w:tcW w:w="1377" w:type="dxa"/>
            <w:tcBorders>
              <w:top w:val="single" w:color="auto" w:sz="2" w:space="0"/>
              <w:left w:val="single" w:color="auto" w:sz="2" w:space="0"/>
              <w:bottom w:val="single" w:color="auto" w:sz="2" w:space="0"/>
              <w:right w:val="single" w:color="auto" w:sz="2" w:space="0"/>
            </w:tcBorders>
            <w:vAlign w:val="center"/>
          </w:tcPr>
          <w:p w14:paraId="272FD47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w:t>
            </w:r>
          </w:p>
        </w:tc>
        <w:tc>
          <w:tcPr>
            <w:tcW w:w="1377" w:type="dxa"/>
            <w:tcBorders>
              <w:top w:val="single" w:color="auto" w:sz="2" w:space="0"/>
              <w:left w:val="single" w:color="auto" w:sz="2" w:space="0"/>
              <w:bottom w:val="single" w:color="auto" w:sz="2" w:space="0"/>
              <w:right w:val="single" w:color="auto" w:sz="2" w:space="0"/>
            </w:tcBorders>
            <w:vAlign w:val="center"/>
          </w:tcPr>
          <w:p w14:paraId="53079BD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BBFEE3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权益法</w:t>
            </w:r>
          </w:p>
        </w:tc>
      </w:tr>
      <w:tr w14:paraId="249C43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F0EC65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莆田博奥医学检验有限公司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22E97D9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福建省莆田市</w:t>
            </w:r>
          </w:p>
        </w:tc>
        <w:tc>
          <w:tcPr>
            <w:tcW w:w="1377" w:type="dxa"/>
            <w:tcBorders>
              <w:top w:val="single" w:color="auto" w:sz="2" w:space="0"/>
              <w:left w:val="single" w:color="auto" w:sz="2" w:space="0"/>
              <w:bottom w:val="single" w:color="auto" w:sz="2" w:space="0"/>
              <w:right w:val="single" w:color="auto" w:sz="2" w:space="0"/>
            </w:tcBorders>
            <w:vAlign w:val="center"/>
          </w:tcPr>
          <w:p w14:paraId="3F6CD59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福建省莆田市</w:t>
            </w:r>
          </w:p>
        </w:tc>
        <w:tc>
          <w:tcPr>
            <w:tcW w:w="1377" w:type="dxa"/>
            <w:tcBorders>
              <w:top w:val="single" w:color="auto" w:sz="2" w:space="0"/>
              <w:left w:val="single" w:color="auto" w:sz="2" w:space="0"/>
              <w:bottom w:val="single" w:color="auto" w:sz="2" w:space="0"/>
              <w:right w:val="single" w:color="auto" w:sz="2" w:space="0"/>
            </w:tcBorders>
            <w:vAlign w:val="center"/>
          </w:tcPr>
          <w:p w14:paraId="27E9B42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医学检验、医学研究和试验发</w:t>
            </w:r>
          </w:p>
        </w:tc>
        <w:tc>
          <w:tcPr>
            <w:tcW w:w="1377" w:type="dxa"/>
            <w:tcBorders>
              <w:top w:val="single" w:color="auto" w:sz="2" w:space="0"/>
              <w:left w:val="single" w:color="auto" w:sz="2" w:space="0"/>
              <w:bottom w:val="single" w:color="auto" w:sz="2" w:space="0"/>
              <w:right w:val="single" w:color="auto" w:sz="2" w:space="0"/>
            </w:tcBorders>
            <w:vAlign w:val="center"/>
          </w:tcPr>
          <w:p w14:paraId="4C41B7A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39.20%</w:t>
            </w:r>
          </w:p>
        </w:tc>
        <w:tc>
          <w:tcPr>
            <w:tcW w:w="1377" w:type="dxa"/>
            <w:tcBorders>
              <w:top w:val="single" w:color="auto" w:sz="2" w:space="0"/>
              <w:left w:val="single" w:color="auto" w:sz="2" w:space="0"/>
              <w:bottom w:val="single" w:color="auto" w:sz="2" w:space="0"/>
              <w:right w:val="single" w:color="auto" w:sz="2" w:space="0"/>
            </w:tcBorders>
            <w:vAlign w:val="center"/>
          </w:tcPr>
          <w:p w14:paraId="57C8E1A4">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53B9F0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权益法</w:t>
            </w:r>
          </w:p>
        </w:tc>
      </w:tr>
    </w:tbl>
    <w:p w14:paraId="2DF1036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在合营企业或联营企业的持股比例不同于表决权比例的说明：</w:t>
      </w:r>
    </w:p>
    <w:p w14:paraId="3D424EE1">
      <w:pPr>
        <w:pStyle w:val="4"/>
        <w:keepNext w:val="0"/>
        <w:keepLines w:val="0"/>
        <w:widowControl/>
        <w:suppressLineNumbers w:val="0"/>
        <w:spacing w:line="360" w:lineRule="auto"/>
        <w:ind w:left="0" w:right="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1、在合营企业或联营企业的持股比例不同于表决权比例的说明</w:t>
      </w:r>
    </w:p>
    <w:p w14:paraId="64654A0B">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根据福建广明方医药投资研发中心（有限合伙）入伙协议，公司为有限合伙人，认缴出资4,000万元，认缴比例50%；深圳物明投资管理有限公司为普通合伙人，认缴出资5万元，认缴比例0.0625%；深圳格物致知三号投资企业（有限合伙）为有限合伙人，认缴出资3,995万元，认缴比例49.9375%。合伙协议同时约定，投资委员会由三名委员组成，由普通合伙人和两个有限合伙人分别委派一位人员担任。对于投资决策委员会所议事项，投资决策委员会委员一人一票，所议事项的决策应经全体投资决策委员会三分之二以上委员同意后方可做出。因此，公司在福建广明方医药投资研发中心（有限合伙）的表决权比例（三分之一）低于持股比例（50%）。截至2025年6月30日，广生堂实际出资比例62.5%。</w:t>
      </w:r>
    </w:p>
    <w:p w14:paraId="2795B752">
      <w:pPr>
        <w:pStyle w:val="4"/>
        <w:keepNext w:val="0"/>
        <w:keepLines w:val="0"/>
        <w:widowControl/>
        <w:suppressLineNumbers w:val="0"/>
        <w:spacing w:line="360" w:lineRule="auto"/>
        <w:ind w:left="0" w:right="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2、其他说明</w:t>
      </w:r>
    </w:p>
    <w:p w14:paraId="3FA56439">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莆田博奥医学检验有限公司注册资本1,000万元，其中北京博奥晶典生物技术有限公司出资人民币408万元，占注册资本金的40.8%；莆田市医疗健康产业投资有限公司出资人民币200万元，占注册资本金的20%；福建广生堂药业股份有限公司出资人民币392万元，占注册资本金的39.2%。至2025年6月30日，实际出资920万元，其中北京博奥晶典生物技术有限公司出资人民币408万元，占实缴资本的44.35%；莆田市医疗健康产业投资有限公司出资人民币120万元，占实缴资本的13.04%；福建广生堂药业股份有限公司出资人民币392万元，占实缴资本的42.61%。</w:t>
      </w:r>
    </w:p>
    <w:p w14:paraId="1837067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持有20%以下表决权但具有重大影响，或者持有20%或以上表决权但不具有重大影响的依据：</w:t>
      </w:r>
    </w:p>
    <w:p w14:paraId="51CD0352">
      <w:pPr>
        <w:keepNext/>
        <w:keepLines/>
        <w:spacing w:before="300" w:after="300" w:line="280" w:lineRule="exact"/>
        <w:jc w:val="left"/>
        <w:outlineLvl w:val="3"/>
        <w:rPr>
          <w:rFonts w:ascii="宋体" w:hAnsi="宋体" w:eastAsia="宋体" w:cs="宋体"/>
          <w:b/>
          <w:bCs/>
          <w:color w:val="auto"/>
          <w:sz w:val="21"/>
          <w:szCs w:val="21"/>
        </w:rPr>
      </w:pPr>
      <w:bookmarkStart w:id="336" w:name="_Toc989312"/>
      <w:r>
        <w:rPr>
          <w:rFonts w:ascii="宋体" w:hAnsi="宋体" w:eastAsia="宋体" w:cs="宋体"/>
          <w:b/>
          <w:bCs/>
          <w:color w:val="auto"/>
          <w:sz w:val="21"/>
          <w:szCs w:val="21"/>
        </w:rPr>
        <w:t>（2）重要合营企业的主要财务信息</w:t>
      </w:r>
      <w:bookmarkEnd w:id="336"/>
    </w:p>
    <w:p w14:paraId="787BA70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DE126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4C6507">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0E2B9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43C1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期初余额/上期发生额</w:t>
            </w:r>
          </w:p>
        </w:tc>
      </w:tr>
      <w:tr w14:paraId="14B1BF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6C9052">
            <w:pPr>
              <w:rPr>
                <w:color w:val="auto"/>
              </w:rPr>
            </w:pPr>
          </w:p>
        </w:tc>
        <w:tc>
          <w:tcPr>
            <w:tcW w:w="3213" w:type="dxa"/>
            <w:tcBorders>
              <w:top w:val="single" w:color="auto" w:sz="2" w:space="0"/>
              <w:left w:val="single" w:color="auto" w:sz="2" w:space="0"/>
              <w:bottom w:val="single" w:color="auto" w:sz="2" w:space="0"/>
              <w:right w:val="single" w:color="auto" w:sz="2" w:space="0"/>
            </w:tcBorders>
            <w:vAlign w:val="center"/>
          </w:tcPr>
          <w:p w14:paraId="3A22859A">
            <w:pPr>
              <w:spacing w:before="0" w:after="0" w:line="240" w:lineRule="exact"/>
              <w:jc w:val="center"/>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1A1FB42">
            <w:pPr>
              <w:spacing w:before="0" w:after="0" w:line="240" w:lineRule="exact"/>
              <w:jc w:val="center"/>
              <w:rPr>
                <w:rFonts w:ascii="宋体" w:hAnsi="宋体" w:eastAsia="宋体" w:cs="宋体"/>
                <w:color w:val="auto"/>
                <w:sz w:val="18"/>
                <w:szCs w:val="18"/>
              </w:rPr>
            </w:pPr>
          </w:p>
        </w:tc>
      </w:tr>
      <w:tr w14:paraId="082C43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77C3D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03E665C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E192D6">
            <w:pPr>
              <w:spacing w:before="0" w:after="0" w:line="240" w:lineRule="exact"/>
              <w:jc w:val="right"/>
              <w:rPr>
                <w:rFonts w:ascii="宋体" w:hAnsi="宋体" w:eastAsia="宋体" w:cs="宋体"/>
                <w:color w:val="auto"/>
                <w:sz w:val="18"/>
                <w:szCs w:val="18"/>
              </w:rPr>
            </w:pPr>
          </w:p>
        </w:tc>
      </w:tr>
      <w:tr w14:paraId="0FD504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D6248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其中：现金和现金等价物</w:t>
            </w:r>
          </w:p>
        </w:tc>
        <w:tc>
          <w:tcPr>
            <w:tcW w:w="3213" w:type="dxa"/>
            <w:tcBorders>
              <w:top w:val="single" w:color="auto" w:sz="2" w:space="0"/>
              <w:left w:val="single" w:color="auto" w:sz="2" w:space="0"/>
              <w:bottom w:val="single" w:color="auto" w:sz="2" w:space="0"/>
              <w:right w:val="single" w:color="auto" w:sz="2" w:space="0"/>
            </w:tcBorders>
            <w:vAlign w:val="center"/>
          </w:tcPr>
          <w:p w14:paraId="3F27EE2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ADD5E1">
            <w:pPr>
              <w:spacing w:before="0" w:after="0" w:line="240" w:lineRule="exact"/>
              <w:jc w:val="right"/>
              <w:rPr>
                <w:rFonts w:ascii="宋体" w:hAnsi="宋体" w:eastAsia="宋体" w:cs="宋体"/>
                <w:color w:val="auto"/>
                <w:sz w:val="18"/>
                <w:szCs w:val="18"/>
              </w:rPr>
            </w:pPr>
          </w:p>
        </w:tc>
      </w:tr>
      <w:tr w14:paraId="29C348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86FFC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7BBCF52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2BBC4A2">
            <w:pPr>
              <w:spacing w:before="0" w:after="0" w:line="240" w:lineRule="exact"/>
              <w:jc w:val="right"/>
              <w:rPr>
                <w:rFonts w:ascii="宋体" w:hAnsi="宋体" w:eastAsia="宋体" w:cs="宋体"/>
                <w:color w:val="auto"/>
                <w:sz w:val="18"/>
                <w:szCs w:val="18"/>
              </w:rPr>
            </w:pPr>
          </w:p>
        </w:tc>
      </w:tr>
      <w:tr w14:paraId="469144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21090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67A6E6C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7A61DA">
            <w:pPr>
              <w:spacing w:before="0" w:after="0" w:line="240" w:lineRule="exact"/>
              <w:jc w:val="right"/>
              <w:rPr>
                <w:rFonts w:ascii="宋体" w:hAnsi="宋体" w:eastAsia="宋体" w:cs="宋体"/>
                <w:color w:val="auto"/>
                <w:sz w:val="18"/>
                <w:szCs w:val="18"/>
              </w:rPr>
            </w:pPr>
          </w:p>
        </w:tc>
      </w:tr>
      <w:tr w14:paraId="25A90A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9BA6D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282C387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9670B60">
            <w:pPr>
              <w:spacing w:before="0" w:after="0" w:line="240" w:lineRule="exact"/>
              <w:jc w:val="right"/>
              <w:rPr>
                <w:rFonts w:ascii="宋体" w:hAnsi="宋体" w:eastAsia="宋体" w:cs="宋体"/>
                <w:color w:val="auto"/>
                <w:sz w:val="18"/>
                <w:szCs w:val="18"/>
              </w:rPr>
            </w:pPr>
          </w:p>
        </w:tc>
      </w:tr>
      <w:tr w14:paraId="7F1F88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B78C5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2EAA3F3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B1734D">
            <w:pPr>
              <w:spacing w:before="0" w:after="0" w:line="240" w:lineRule="exact"/>
              <w:jc w:val="right"/>
              <w:rPr>
                <w:rFonts w:ascii="宋体" w:hAnsi="宋体" w:eastAsia="宋体" w:cs="宋体"/>
                <w:color w:val="auto"/>
                <w:sz w:val="18"/>
                <w:szCs w:val="18"/>
              </w:rPr>
            </w:pPr>
          </w:p>
        </w:tc>
      </w:tr>
      <w:tr w14:paraId="0C7C43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F6F0A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4ACCADA8">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441338">
            <w:pPr>
              <w:spacing w:before="0" w:after="0" w:line="240" w:lineRule="exact"/>
              <w:jc w:val="right"/>
              <w:rPr>
                <w:rFonts w:ascii="宋体" w:hAnsi="宋体" w:eastAsia="宋体" w:cs="宋体"/>
                <w:color w:val="auto"/>
                <w:sz w:val="18"/>
                <w:szCs w:val="18"/>
              </w:rPr>
            </w:pPr>
          </w:p>
        </w:tc>
      </w:tr>
      <w:tr w14:paraId="4FCF66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27161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121B919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5137C4">
            <w:pPr>
              <w:spacing w:before="0" w:after="0" w:line="240" w:lineRule="exact"/>
              <w:jc w:val="right"/>
              <w:rPr>
                <w:rFonts w:ascii="宋体" w:hAnsi="宋体" w:eastAsia="宋体" w:cs="宋体"/>
                <w:color w:val="auto"/>
                <w:sz w:val="18"/>
                <w:szCs w:val="18"/>
              </w:rPr>
            </w:pPr>
          </w:p>
        </w:tc>
      </w:tr>
      <w:tr w14:paraId="1F282D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3E365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归属于母公司股东权益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60D9750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190E03B">
            <w:pPr>
              <w:spacing w:before="0" w:after="0" w:line="240" w:lineRule="exact"/>
              <w:jc w:val="right"/>
              <w:rPr>
                <w:rFonts w:ascii="宋体" w:hAnsi="宋体" w:eastAsia="宋体" w:cs="宋体"/>
                <w:color w:val="auto"/>
                <w:sz w:val="18"/>
                <w:szCs w:val="18"/>
              </w:rPr>
            </w:pPr>
          </w:p>
        </w:tc>
      </w:tr>
      <w:tr w14:paraId="63674D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680AA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按持股比例计算的净资产份额</w:t>
            </w:r>
          </w:p>
        </w:tc>
        <w:tc>
          <w:tcPr>
            <w:tcW w:w="3213" w:type="dxa"/>
            <w:tcBorders>
              <w:top w:val="single" w:color="auto" w:sz="2" w:space="0"/>
              <w:left w:val="single" w:color="auto" w:sz="2" w:space="0"/>
              <w:bottom w:val="single" w:color="auto" w:sz="2" w:space="0"/>
              <w:right w:val="single" w:color="auto" w:sz="2" w:space="0"/>
            </w:tcBorders>
            <w:vAlign w:val="center"/>
          </w:tcPr>
          <w:p w14:paraId="21F8DB2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B1FC9D">
            <w:pPr>
              <w:spacing w:before="0" w:after="0" w:line="240" w:lineRule="exact"/>
              <w:jc w:val="right"/>
              <w:rPr>
                <w:rFonts w:ascii="宋体" w:hAnsi="宋体" w:eastAsia="宋体" w:cs="宋体"/>
                <w:color w:val="auto"/>
                <w:sz w:val="18"/>
                <w:szCs w:val="18"/>
              </w:rPr>
            </w:pPr>
          </w:p>
        </w:tc>
      </w:tr>
      <w:tr w14:paraId="3A8D21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0D177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调整事项</w:t>
            </w:r>
          </w:p>
        </w:tc>
        <w:tc>
          <w:tcPr>
            <w:tcW w:w="3213" w:type="dxa"/>
            <w:tcBorders>
              <w:top w:val="single" w:color="auto" w:sz="2" w:space="0"/>
              <w:left w:val="single" w:color="auto" w:sz="2" w:space="0"/>
              <w:bottom w:val="single" w:color="auto" w:sz="2" w:space="0"/>
              <w:right w:val="single" w:color="auto" w:sz="2" w:space="0"/>
            </w:tcBorders>
            <w:vAlign w:val="center"/>
          </w:tcPr>
          <w:p w14:paraId="6B63CD2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660AE15">
            <w:pPr>
              <w:spacing w:before="0" w:after="0" w:line="240" w:lineRule="exact"/>
              <w:jc w:val="right"/>
              <w:rPr>
                <w:rFonts w:ascii="宋体" w:hAnsi="宋体" w:eastAsia="宋体" w:cs="宋体"/>
                <w:color w:val="auto"/>
                <w:sz w:val="18"/>
                <w:szCs w:val="18"/>
              </w:rPr>
            </w:pPr>
          </w:p>
        </w:tc>
      </w:tr>
      <w:tr w14:paraId="4B16C4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18776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127FA35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5C72C9">
            <w:pPr>
              <w:spacing w:before="0" w:after="0" w:line="240" w:lineRule="exact"/>
              <w:jc w:val="right"/>
              <w:rPr>
                <w:rFonts w:ascii="宋体" w:hAnsi="宋体" w:eastAsia="宋体" w:cs="宋体"/>
                <w:color w:val="auto"/>
                <w:sz w:val="18"/>
                <w:szCs w:val="18"/>
              </w:rPr>
            </w:pPr>
          </w:p>
        </w:tc>
      </w:tr>
      <w:tr w14:paraId="7E8A7D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C6A20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--内部交易未实现利润</w:t>
            </w:r>
          </w:p>
        </w:tc>
        <w:tc>
          <w:tcPr>
            <w:tcW w:w="3213" w:type="dxa"/>
            <w:tcBorders>
              <w:top w:val="single" w:color="auto" w:sz="2" w:space="0"/>
              <w:left w:val="single" w:color="auto" w:sz="2" w:space="0"/>
              <w:bottom w:val="single" w:color="auto" w:sz="2" w:space="0"/>
              <w:right w:val="single" w:color="auto" w:sz="2" w:space="0"/>
            </w:tcBorders>
            <w:vAlign w:val="center"/>
          </w:tcPr>
          <w:p w14:paraId="7E5F078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8997006">
            <w:pPr>
              <w:spacing w:before="0" w:after="0" w:line="240" w:lineRule="exact"/>
              <w:jc w:val="right"/>
              <w:rPr>
                <w:rFonts w:ascii="宋体" w:hAnsi="宋体" w:eastAsia="宋体" w:cs="宋体"/>
                <w:color w:val="auto"/>
                <w:sz w:val="18"/>
                <w:szCs w:val="18"/>
              </w:rPr>
            </w:pPr>
          </w:p>
        </w:tc>
      </w:tr>
      <w:tr w14:paraId="233F95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01856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3C87684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C7DCFC4">
            <w:pPr>
              <w:spacing w:before="0" w:after="0" w:line="240" w:lineRule="exact"/>
              <w:jc w:val="right"/>
              <w:rPr>
                <w:rFonts w:ascii="宋体" w:hAnsi="宋体" w:eastAsia="宋体" w:cs="宋体"/>
                <w:color w:val="auto"/>
                <w:sz w:val="18"/>
                <w:szCs w:val="18"/>
              </w:rPr>
            </w:pPr>
          </w:p>
        </w:tc>
      </w:tr>
      <w:tr w14:paraId="6C2D05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CD561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对合营企业权益投资的账面价值</w:t>
            </w:r>
          </w:p>
        </w:tc>
        <w:tc>
          <w:tcPr>
            <w:tcW w:w="3213" w:type="dxa"/>
            <w:tcBorders>
              <w:top w:val="single" w:color="auto" w:sz="2" w:space="0"/>
              <w:left w:val="single" w:color="auto" w:sz="2" w:space="0"/>
              <w:bottom w:val="single" w:color="auto" w:sz="2" w:space="0"/>
              <w:right w:val="single" w:color="auto" w:sz="2" w:space="0"/>
            </w:tcBorders>
            <w:vAlign w:val="center"/>
          </w:tcPr>
          <w:p w14:paraId="6473D40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14E9ABD">
            <w:pPr>
              <w:spacing w:before="0" w:after="0" w:line="240" w:lineRule="exact"/>
              <w:jc w:val="right"/>
              <w:rPr>
                <w:rFonts w:ascii="宋体" w:hAnsi="宋体" w:eastAsia="宋体" w:cs="宋体"/>
                <w:color w:val="auto"/>
                <w:sz w:val="18"/>
                <w:szCs w:val="18"/>
              </w:rPr>
            </w:pPr>
          </w:p>
        </w:tc>
      </w:tr>
      <w:tr w14:paraId="2F9997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F27EC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存在公开报价的合营企业权益投资的公允价值</w:t>
            </w:r>
          </w:p>
        </w:tc>
        <w:tc>
          <w:tcPr>
            <w:tcW w:w="3213" w:type="dxa"/>
            <w:tcBorders>
              <w:top w:val="single" w:color="auto" w:sz="2" w:space="0"/>
              <w:left w:val="single" w:color="auto" w:sz="2" w:space="0"/>
              <w:bottom w:val="single" w:color="auto" w:sz="2" w:space="0"/>
              <w:right w:val="single" w:color="auto" w:sz="2" w:space="0"/>
            </w:tcBorders>
            <w:vAlign w:val="center"/>
          </w:tcPr>
          <w:p w14:paraId="7CF1C19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D725382">
            <w:pPr>
              <w:spacing w:before="0" w:after="0" w:line="240" w:lineRule="exact"/>
              <w:jc w:val="right"/>
              <w:rPr>
                <w:rFonts w:ascii="宋体" w:hAnsi="宋体" w:eastAsia="宋体" w:cs="宋体"/>
                <w:color w:val="auto"/>
                <w:sz w:val="18"/>
                <w:szCs w:val="18"/>
              </w:rPr>
            </w:pPr>
          </w:p>
        </w:tc>
      </w:tr>
      <w:tr w14:paraId="1EE866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14933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65802AF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63D6C66">
            <w:pPr>
              <w:spacing w:before="0" w:after="0" w:line="240" w:lineRule="exact"/>
              <w:jc w:val="right"/>
              <w:rPr>
                <w:rFonts w:ascii="宋体" w:hAnsi="宋体" w:eastAsia="宋体" w:cs="宋体"/>
                <w:color w:val="auto"/>
                <w:sz w:val="18"/>
                <w:szCs w:val="18"/>
              </w:rPr>
            </w:pPr>
          </w:p>
        </w:tc>
      </w:tr>
      <w:tr w14:paraId="47269B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7A940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691DADB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A349CE9">
            <w:pPr>
              <w:spacing w:before="0" w:after="0" w:line="240" w:lineRule="exact"/>
              <w:jc w:val="right"/>
              <w:rPr>
                <w:rFonts w:ascii="宋体" w:hAnsi="宋体" w:eastAsia="宋体" w:cs="宋体"/>
                <w:color w:val="auto"/>
                <w:sz w:val="18"/>
                <w:szCs w:val="18"/>
              </w:rPr>
            </w:pPr>
          </w:p>
        </w:tc>
      </w:tr>
      <w:tr w14:paraId="5D0FF5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59B7B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5145FE4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6A7AFA6">
            <w:pPr>
              <w:spacing w:before="0" w:after="0" w:line="240" w:lineRule="exact"/>
              <w:jc w:val="right"/>
              <w:rPr>
                <w:rFonts w:ascii="宋体" w:hAnsi="宋体" w:eastAsia="宋体" w:cs="宋体"/>
                <w:color w:val="auto"/>
                <w:sz w:val="18"/>
                <w:szCs w:val="18"/>
              </w:rPr>
            </w:pPr>
          </w:p>
        </w:tc>
      </w:tr>
      <w:tr w14:paraId="6B4A9C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914A1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净利润</w:t>
            </w:r>
          </w:p>
        </w:tc>
        <w:tc>
          <w:tcPr>
            <w:tcW w:w="3213" w:type="dxa"/>
            <w:tcBorders>
              <w:top w:val="single" w:color="auto" w:sz="2" w:space="0"/>
              <w:left w:val="single" w:color="auto" w:sz="2" w:space="0"/>
              <w:bottom w:val="single" w:color="auto" w:sz="2" w:space="0"/>
              <w:right w:val="single" w:color="auto" w:sz="2" w:space="0"/>
            </w:tcBorders>
            <w:vAlign w:val="center"/>
          </w:tcPr>
          <w:p w14:paraId="20C84DF1">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EC86FF">
            <w:pPr>
              <w:spacing w:before="0" w:after="0" w:line="240" w:lineRule="exact"/>
              <w:jc w:val="right"/>
              <w:rPr>
                <w:rFonts w:ascii="宋体" w:hAnsi="宋体" w:eastAsia="宋体" w:cs="宋体"/>
                <w:color w:val="auto"/>
                <w:sz w:val="18"/>
                <w:szCs w:val="18"/>
              </w:rPr>
            </w:pPr>
          </w:p>
        </w:tc>
      </w:tr>
      <w:tr w14:paraId="4CF09F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2F3B8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终止经营的净利润</w:t>
            </w:r>
          </w:p>
        </w:tc>
        <w:tc>
          <w:tcPr>
            <w:tcW w:w="3213" w:type="dxa"/>
            <w:tcBorders>
              <w:top w:val="single" w:color="auto" w:sz="2" w:space="0"/>
              <w:left w:val="single" w:color="auto" w:sz="2" w:space="0"/>
              <w:bottom w:val="single" w:color="auto" w:sz="2" w:space="0"/>
              <w:right w:val="single" w:color="auto" w:sz="2" w:space="0"/>
            </w:tcBorders>
            <w:vAlign w:val="center"/>
          </w:tcPr>
          <w:p w14:paraId="76DD5E6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7A6DB75">
            <w:pPr>
              <w:spacing w:before="0" w:after="0" w:line="240" w:lineRule="exact"/>
              <w:jc w:val="right"/>
              <w:rPr>
                <w:rFonts w:ascii="宋体" w:hAnsi="宋体" w:eastAsia="宋体" w:cs="宋体"/>
                <w:color w:val="auto"/>
                <w:sz w:val="18"/>
                <w:szCs w:val="18"/>
              </w:rPr>
            </w:pPr>
          </w:p>
        </w:tc>
      </w:tr>
      <w:tr w14:paraId="643F7E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CB2D9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31F4A45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7731A8">
            <w:pPr>
              <w:spacing w:before="0" w:after="0" w:line="240" w:lineRule="exact"/>
              <w:jc w:val="right"/>
              <w:rPr>
                <w:rFonts w:ascii="宋体" w:hAnsi="宋体" w:eastAsia="宋体" w:cs="宋体"/>
                <w:color w:val="auto"/>
                <w:sz w:val="18"/>
                <w:szCs w:val="18"/>
              </w:rPr>
            </w:pPr>
          </w:p>
        </w:tc>
      </w:tr>
      <w:tr w14:paraId="3397B3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0C3E9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66CE570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EF9573D">
            <w:pPr>
              <w:spacing w:before="0" w:after="0" w:line="240" w:lineRule="exact"/>
              <w:jc w:val="right"/>
              <w:rPr>
                <w:rFonts w:ascii="宋体" w:hAnsi="宋体" w:eastAsia="宋体" w:cs="宋体"/>
                <w:color w:val="auto"/>
                <w:sz w:val="18"/>
                <w:szCs w:val="18"/>
              </w:rPr>
            </w:pPr>
          </w:p>
        </w:tc>
      </w:tr>
      <w:tr w14:paraId="5513D6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ABD2647">
            <w:pPr>
              <w:spacing w:before="0" w:after="0" w:line="240" w:lineRule="exact"/>
              <w:jc w:val="lef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E37847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9646AF1">
            <w:pPr>
              <w:spacing w:before="0" w:after="0" w:line="240" w:lineRule="exact"/>
              <w:jc w:val="right"/>
              <w:rPr>
                <w:rFonts w:ascii="宋体" w:hAnsi="宋体" w:eastAsia="宋体" w:cs="宋体"/>
                <w:color w:val="auto"/>
                <w:sz w:val="18"/>
                <w:szCs w:val="18"/>
              </w:rPr>
            </w:pPr>
          </w:p>
        </w:tc>
      </w:tr>
      <w:tr w14:paraId="30562E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637D2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本年度收到的来自合营企业的股利</w:t>
            </w:r>
          </w:p>
        </w:tc>
        <w:tc>
          <w:tcPr>
            <w:tcW w:w="3213" w:type="dxa"/>
            <w:tcBorders>
              <w:top w:val="single" w:color="auto" w:sz="2" w:space="0"/>
              <w:left w:val="single" w:color="auto" w:sz="2" w:space="0"/>
              <w:bottom w:val="single" w:color="auto" w:sz="2" w:space="0"/>
              <w:right w:val="single" w:color="auto" w:sz="2" w:space="0"/>
            </w:tcBorders>
            <w:vAlign w:val="center"/>
          </w:tcPr>
          <w:p w14:paraId="701B23D2">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AAAB3B">
            <w:pPr>
              <w:spacing w:before="0" w:after="0" w:line="240" w:lineRule="exact"/>
              <w:jc w:val="right"/>
              <w:rPr>
                <w:rFonts w:ascii="宋体" w:hAnsi="宋体" w:eastAsia="宋体" w:cs="宋体"/>
                <w:color w:val="auto"/>
                <w:sz w:val="18"/>
                <w:szCs w:val="18"/>
              </w:rPr>
            </w:pPr>
          </w:p>
        </w:tc>
      </w:tr>
    </w:tbl>
    <w:p w14:paraId="6328465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4377317">
      <w:pPr>
        <w:keepNext/>
        <w:keepLines/>
        <w:spacing w:before="300" w:after="300" w:line="280" w:lineRule="exact"/>
        <w:jc w:val="left"/>
        <w:outlineLvl w:val="3"/>
        <w:rPr>
          <w:rFonts w:ascii="宋体" w:hAnsi="宋体" w:eastAsia="宋体" w:cs="宋体"/>
          <w:b/>
          <w:bCs/>
          <w:color w:val="auto"/>
          <w:sz w:val="21"/>
          <w:szCs w:val="21"/>
        </w:rPr>
      </w:pPr>
      <w:bookmarkStart w:id="337" w:name="_Toc989313"/>
      <w:r>
        <w:rPr>
          <w:rFonts w:ascii="宋体" w:hAnsi="宋体" w:eastAsia="宋体" w:cs="宋体"/>
          <w:b/>
          <w:bCs/>
          <w:color w:val="auto"/>
          <w:sz w:val="21"/>
          <w:szCs w:val="21"/>
        </w:rPr>
        <w:t>（3）重要联营企业的主要财务信息</w:t>
      </w:r>
      <w:bookmarkEnd w:id="337"/>
    </w:p>
    <w:p w14:paraId="3F1FEC4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64A77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6CFBE7B">
            <w:pPr>
              <w:rPr>
                <w:color w:val="auto"/>
              </w:rPr>
            </w:pP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38473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期末余额/本期发生额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54C8CB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期初余额/上期发生额</w:t>
            </w:r>
          </w:p>
        </w:tc>
      </w:tr>
      <w:tr w14:paraId="47DACE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B36E8E8">
            <w:pPr>
              <w:rPr>
                <w:color w:val="auto"/>
              </w:rPr>
            </w:pPr>
          </w:p>
        </w:tc>
        <w:tc>
          <w:tcPr>
            <w:tcW w:w="1377" w:type="dxa"/>
            <w:tcBorders>
              <w:top w:val="single" w:color="auto" w:sz="2" w:space="0"/>
              <w:left w:val="single" w:color="auto" w:sz="2" w:space="0"/>
              <w:bottom w:val="single" w:color="auto" w:sz="2" w:space="0"/>
              <w:right w:val="single" w:color="auto" w:sz="2" w:space="0"/>
            </w:tcBorders>
            <w:vAlign w:val="center"/>
          </w:tcPr>
          <w:p w14:paraId="304993A1">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福建博奥医学检验所有限公司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252B6D5E">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福建广明方医药投资研发中心（有限合伙）</w:t>
            </w:r>
          </w:p>
        </w:tc>
        <w:tc>
          <w:tcPr>
            <w:tcW w:w="1377" w:type="dxa"/>
            <w:tcBorders>
              <w:top w:val="single" w:color="auto" w:sz="2" w:space="0"/>
              <w:left w:val="single" w:color="auto" w:sz="2" w:space="0"/>
              <w:bottom w:val="single" w:color="auto" w:sz="2" w:space="0"/>
              <w:right w:val="single" w:color="auto" w:sz="2" w:space="0"/>
            </w:tcBorders>
            <w:vAlign w:val="center"/>
          </w:tcPr>
          <w:p w14:paraId="5C443FF3">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莆田博奥医学检验有限公司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68EB27C8">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福建博奥医学检验所有限公司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2D87B6DB">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福建广明方医药投资研发中心（有限合伙）</w:t>
            </w:r>
          </w:p>
        </w:tc>
        <w:tc>
          <w:tcPr>
            <w:tcW w:w="1377" w:type="dxa"/>
            <w:tcBorders>
              <w:top w:val="single" w:color="auto" w:sz="2" w:space="0"/>
              <w:left w:val="single" w:color="auto" w:sz="2" w:space="0"/>
              <w:bottom w:val="single" w:color="auto" w:sz="2" w:space="0"/>
              <w:right w:val="single" w:color="auto" w:sz="2" w:space="0"/>
            </w:tcBorders>
            <w:vAlign w:val="center"/>
          </w:tcPr>
          <w:p w14:paraId="1781A835">
            <w:pPr>
              <w:spacing w:before="0" w:after="0" w:line="240" w:lineRule="exact"/>
              <w:jc w:val="center"/>
              <w:rPr>
                <w:rFonts w:ascii="宋体" w:hAnsi="宋体" w:eastAsia="宋体" w:cs="宋体"/>
                <w:color w:val="auto"/>
                <w:sz w:val="18"/>
                <w:szCs w:val="18"/>
              </w:rPr>
            </w:pPr>
            <w:r>
              <w:rPr>
                <w:rFonts w:ascii="宋体" w:hAnsi="宋体" w:eastAsia="宋体" w:cs="宋体"/>
                <w:color w:val="auto"/>
                <w:sz w:val="18"/>
                <w:szCs w:val="18"/>
              </w:rPr>
              <w:t>莆田博奥医学检验有限公司</w:t>
            </w:r>
          </w:p>
        </w:tc>
      </w:tr>
      <w:tr w14:paraId="6C86B3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AD0455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流动资产</w:t>
            </w:r>
          </w:p>
        </w:tc>
        <w:tc>
          <w:tcPr>
            <w:tcW w:w="1377" w:type="dxa"/>
            <w:tcBorders>
              <w:top w:val="single" w:color="auto" w:sz="2" w:space="0"/>
              <w:left w:val="single" w:color="auto" w:sz="2" w:space="0"/>
              <w:bottom w:val="single" w:color="auto" w:sz="2" w:space="0"/>
              <w:right w:val="single" w:color="auto" w:sz="2" w:space="0"/>
            </w:tcBorders>
            <w:vAlign w:val="center"/>
          </w:tcPr>
          <w:p w14:paraId="0128DB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81,244,251.34</w:t>
            </w:r>
          </w:p>
        </w:tc>
        <w:tc>
          <w:tcPr>
            <w:tcW w:w="1377" w:type="dxa"/>
            <w:tcBorders>
              <w:top w:val="single" w:color="auto" w:sz="2" w:space="0"/>
              <w:left w:val="single" w:color="auto" w:sz="2" w:space="0"/>
              <w:bottom w:val="single" w:color="auto" w:sz="2" w:space="0"/>
              <w:right w:val="single" w:color="auto" w:sz="2" w:space="0"/>
            </w:tcBorders>
            <w:vAlign w:val="center"/>
          </w:tcPr>
          <w:p w14:paraId="6176CA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11,779,398.64</w:t>
            </w:r>
          </w:p>
        </w:tc>
        <w:tc>
          <w:tcPr>
            <w:tcW w:w="1377" w:type="dxa"/>
            <w:tcBorders>
              <w:top w:val="single" w:color="auto" w:sz="2" w:space="0"/>
              <w:left w:val="single" w:color="auto" w:sz="2" w:space="0"/>
              <w:bottom w:val="single" w:color="auto" w:sz="2" w:space="0"/>
              <w:right w:val="single" w:color="auto" w:sz="2" w:space="0"/>
            </w:tcBorders>
            <w:vAlign w:val="center"/>
          </w:tcPr>
          <w:p w14:paraId="42927C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24,742,629.94</w:t>
            </w:r>
          </w:p>
        </w:tc>
        <w:tc>
          <w:tcPr>
            <w:tcW w:w="1377" w:type="dxa"/>
            <w:tcBorders>
              <w:top w:val="single" w:color="auto" w:sz="2" w:space="0"/>
              <w:left w:val="single" w:color="auto" w:sz="2" w:space="0"/>
              <w:bottom w:val="single" w:color="auto" w:sz="2" w:space="0"/>
              <w:right w:val="single" w:color="auto" w:sz="2" w:space="0"/>
            </w:tcBorders>
            <w:vAlign w:val="center"/>
          </w:tcPr>
          <w:p w14:paraId="254979F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87,825,847.82</w:t>
            </w:r>
          </w:p>
        </w:tc>
        <w:tc>
          <w:tcPr>
            <w:tcW w:w="1377" w:type="dxa"/>
            <w:tcBorders>
              <w:top w:val="single" w:color="auto" w:sz="2" w:space="0"/>
              <w:left w:val="single" w:color="auto" w:sz="2" w:space="0"/>
              <w:bottom w:val="single" w:color="auto" w:sz="2" w:space="0"/>
              <w:right w:val="single" w:color="auto" w:sz="2" w:space="0"/>
            </w:tcBorders>
            <w:vAlign w:val="center"/>
          </w:tcPr>
          <w:p w14:paraId="115D442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5,773,138.36</w:t>
            </w:r>
          </w:p>
        </w:tc>
        <w:tc>
          <w:tcPr>
            <w:tcW w:w="1377" w:type="dxa"/>
            <w:tcBorders>
              <w:top w:val="single" w:color="auto" w:sz="2" w:space="0"/>
              <w:left w:val="single" w:color="auto" w:sz="2" w:space="0"/>
              <w:bottom w:val="single" w:color="auto" w:sz="2" w:space="0"/>
              <w:right w:val="single" w:color="auto" w:sz="2" w:space="0"/>
            </w:tcBorders>
            <w:vAlign w:val="center"/>
          </w:tcPr>
          <w:p w14:paraId="24EB7DA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19,408,073.70</w:t>
            </w:r>
          </w:p>
        </w:tc>
      </w:tr>
      <w:tr w14:paraId="44D34F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0935BE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非流动资产</w:t>
            </w:r>
          </w:p>
        </w:tc>
        <w:tc>
          <w:tcPr>
            <w:tcW w:w="1377" w:type="dxa"/>
            <w:tcBorders>
              <w:top w:val="single" w:color="auto" w:sz="2" w:space="0"/>
              <w:left w:val="single" w:color="auto" w:sz="2" w:space="0"/>
              <w:bottom w:val="single" w:color="auto" w:sz="2" w:space="0"/>
              <w:right w:val="single" w:color="auto" w:sz="2" w:space="0"/>
            </w:tcBorders>
            <w:vAlign w:val="center"/>
          </w:tcPr>
          <w:p w14:paraId="627EC1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4,168,849.13</w:t>
            </w:r>
          </w:p>
        </w:tc>
        <w:tc>
          <w:tcPr>
            <w:tcW w:w="1377" w:type="dxa"/>
            <w:tcBorders>
              <w:top w:val="single" w:color="auto" w:sz="2" w:space="0"/>
              <w:left w:val="single" w:color="auto" w:sz="2" w:space="0"/>
              <w:bottom w:val="single" w:color="auto" w:sz="2" w:space="0"/>
              <w:right w:val="single" w:color="auto" w:sz="2" w:space="0"/>
            </w:tcBorders>
            <w:vAlign w:val="center"/>
          </w:tcPr>
          <w:p w14:paraId="47DCFB6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52,221,595.95</w:t>
            </w:r>
          </w:p>
        </w:tc>
        <w:tc>
          <w:tcPr>
            <w:tcW w:w="1377" w:type="dxa"/>
            <w:tcBorders>
              <w:top w:val="single" w:color="auto" w:sz="2" w:space="0"/>
              <w:left w:val="single" w:color="auto" w:sz="2" w:space="0"/>
              <w:bottom w:val="single" w:color="auto" w:sz="2" w:space="0"/>
              <w:right w:val="single" w:color="auto" w:sz="2" w:space="0"/>
            </w:tcBorders>
            <w:vAlign w:val="center"/>
          </w:tcPr>
          <w:p w14:paraId="4A71ED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1,196,009.84</w:t>
            </w:r>
          </w:p>
        </w:tc>
        <w:tc>
          <w:tcPr>
            <w:tcW w:w="1377" w:type="dxa"/>
            <w:tcBorders>
              <w:top w:val="single" w:color="auto" w:sz="2" w:space="0"/>
              <w:left w:val="single" w:color="auto" w:sz="2" w:space="0"/>
              <w:bottom w:val="single" w:color="auto" w:sz="2" w:space="0"/>
              <w:right w:val="single" w:color="auto" w:sz="2" w:space="0"/>
            </w:tcBorders>
            <w:vAlign w:val="center"/>
          </w:tcPr>
          <w:p w14:paraId="190B47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6,216,333.82</w:t>
            </w:r>
          </w:p>
        </w:tc>
        <w:tc>
          <w:tcPr>
            <w:tcW w:w="1377" w:type="dxa"/>
            <w:tcBorders>
              <w:top w:val="single" w:color="auto" w:sz="2" w:space="0"/>
              <w:left w:val="single" w:color="auto" w:sz="2" w:space="0"/>
              <w:bottom w:val="single" w:color="auto" w:sz="2" w:space="0"/>
              <w:right w:val="single" w:color="auto" w:sz="2" w:space="0"/>
            </w:tcBorders>
            <w:vAlign w:val="center"/>
          </w:tcPr>
          <w:p w14:paraId="5FA637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58,227,713.83</w:t>
            </w:r>
          </w:p>
        </w:tc>
        <w:tc>
          <w:tcPr>
            <w:tcW w:w="1377" w:type="dxa"/>
            <w:tcBorders>
              <w:top w:val="single" w:color="auto" w:sz="2" w:space="0"/>
              <w:left w:val="single" w:color="auto" w:sz="2" w:space="0"/>
              <w:bottom w:val="single" w:color="auto" w:sz="2" w:space="0"/>
              <w:right w:val="single" w:color="auto" w:sz="2" w:space="0"/>
            </w:tcBorders>
            <w:vAlign w:val="center"/>
          </w:tcPr>
          <w:p w14:paraId="164E7A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1,487,489.00</w:t>
            </w:r>
          </w:p>
        </w:tc>
      </w:tr>
      <w:tr w14:paraId="4F2413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EABC73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资产合计</w:t>
            </w:r>
          </w:p>
        </w:tc>
        <w:tc>
          <w:tcPr>
            <w:tcW w:w="1377" w:type="dxa"/>
            <w:tcBorders>
              <w:top w:val="single" w:color="auto" w:sz="2" w:space="0"/>
              <w:left w:val="single" w:color="auto" w:sz="2" w:space="0"/>
              <w:bottom w:val="single" w:color="auto" w:sz="2" w:space="0"/>
              <w:right w:val="single" w:color="auto" w:sz="2" w:space="0"/>
            </w:tcBorders>
            <w:vAlign w:val="center"/>
          </w:tcPr>
          <w:p w14:paraId="6485C4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85,413,100.47</w:t>
            </w:r>
          </w:p>
        </w:tc>
        <w:tc>
          <w:tcPr>
            <w:tcW w:w="1377" w:type="dxa"/>
            <w:tcBorders>
              <w:top w:val="single" w:color="auto" w:sz="2" w:space="0"/>
              <w:left w:val="single" w:color="auto" w:sz="2" w:space="0"/>
              <w:bottom w:val="single" w:color="auto" w:sz="2" w:space="0"/>
              <w:right w:val="single" w:color="auto" w:sz="2" w:space="0"/>
            </w:tcBorders>
            <w:vAlign w:val="center"/>
          </w:tcPr>
          <w:p w14:paraId="10BFB36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64,000,994.59</w:t>
            </w:r>
          </w:p>
        </w:tc>
        <w:tc>
          <w:tcPr>
            <w:tcW w:w="1377" w:type="dxa"/>
            <w:tcBorders>
              <w:top w:val="single" w:color="auto" w:sz="2" w:space="0"/>
              <w:left w:val="single" w:color="auto" w:sz="2" w:space="0"/>
              <w:bottom w:val="single" w:color="auto" w:sz="2" w:space="0"/>
              <w:right w:val="single" w:color="auto" w:sz="2" w:space="0"/>
            </w:tcBorders>
            <w:vAlign w:val="center"/>
          </w:tcPr>
          <w:p w14:paraId="2A1210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25,938,639.78</w:t>
            </w:r>
          </w:p>
        </w:tc>
        <w:tc>
          <w:tcPr>
            <w:tcW w:w="1377" w:type="dxa"/>
            <w:tcBorders>
              <w:top w:val="single" w:color="auto" w:sz="2" w:space="0"/>
              <w:left w:val="single" w:color="auto" w:sz="2" w:space="0"/>
              <w:bottom w:val="single" w:color="auto" w:sz="2" w:space="0"/>
              <w:right w:val="single" w:color="auto" w:sz="2" w:space="0"/>
            </w:tcBorders>
            <w:vAlign w:val="center"/>
          </w:tcPr>
          <w:p w14:paraId="067548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94,042,181.64</w:t>
            </w:r>
          </w:p>
        </w:tc>
        <w:tc>
          <w:tcPr>
            <w:tcW w:w="1377" w:type="dxa"/>
            <w:tcBorders>
              <w:top w:val="single" w:color="auto" w:sz="2" w:space="0"/>
              <w:left w:val="single" w:color="auto" w:sz="2" w:space="0"/>
              <w:bottom w:val="single" w:color="auto" w:sz="2" w:space="0"/>
              <w:right w:val="single" w:color="auto" w:sz="2" w:space="0"/>
            </w:tcBorders>
            <w:vAlign w:val="center"/>
          </w:tcPr>
          <w:p w14:paraId="4FE53BA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64,000,852.19</w:t>
            </w:r>
          </w:p>
        </w:tc>
        <w:tc>
          <w:tcPr>
            <w:tcW w:w="1377" w:type="dxa"/>
            <w:tcBorders>
              <w:top w:val="single" w:color="auto" w:sz="2" w:space="0"/>
              <w:left w:val="single" w:color="auto" w:sz="2" w:space="0"/>
              <w:bottom w:val="single" w:color="auto" w:sz="2" w:space="0"/>
              <w:right w:val="single" w:color="auto" w:sz="2" w:space="0"/>
            </w:tcBorders>
            <w:vAlign w:val="center"/>
          </w:tcPr>
          <w:p w14:paraId="5DFA759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20,895,562.70</w:t>
            </w:r>
          </w:p>
        </w:tc>
      </w:tr>
      <w:tr w14:paraId="14D53F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BD11E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流动负债</w:t>
            </w:r>
          </w:p>
        </w:tc>
        <w:tc>
          <w:tcPr>
            <w:tcW w:w="1377" w:type="dxa"/>
            <w:tcBorders>
              <w:top w:val="single" w:color="auto" w:sz="2" w:space="0"/>
              <w:left w:val="single" w:color="auto" w:sz="2" w:space="0"/>
              <w:bottom w:val="single" w:color="auto" w:sz="2" w:space="0"/>
              <w:right w:val="single" w:color="auto" w:sz="2" w:space="0"/>
            </w:tcBorders>
            <w:vAlign w:val="center"/>
          </w:tcPr>
          <w:p w14:paraId="1BC7F9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21,836,576.20</w:t>
            </w:r>
          </w:p>
        </w:tc>
        <w:tc>
          <w:tcPr>
            <w:tcW w:w="1377" w:type="dxa"/>
            <w:tcBorders>
              <w:top w:val="single" w:color="auto" w:sz="2" w:space="0"/>
              <w:left w:val="single" w:color="auto" w:sz="2" w:space="0"/>
              <w:bottom w:val="single" w:color="auto" w:sz="2" w:space="0"/>
              <w:right w:val="single" w:color="auto" w:sz="2" w:space="0"/>
            </w:tcBorders>
            <w:vAlign w:val="center"/>
          </w:tcPr>
          <w:p w14:paraId="6C15FA63">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5D10E8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1,454,227.82</w:t>
            </w:r>
          </w:p>
        </w:tc>
        <w:tc>
          <w:tcPr>
            <w:tcW w:w="1377" w:type="dxa"/>
            <w:tcBorders>
              <w:top w:val="single" w:color="auto" w:sz="2" w:space="0"/>
              <w:left w:val="single" w:color="auto" w:sz="2" w:space="0"/>
              <w:bottom w:val="single" w:color="auto" w:sz="2" w:space="0"/>
              <w:right w:val="single" w:color="auto" w:sz="2" w:space="0"/>
            </w:tcBorders>
            <w:vAlign w:val="center"/>
          </w:tcPr>
          <w:p w14:paraId="70DE41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25,665,315.86</w:t>
            </w:r>
          </w:p>
        </w:tc>
        <w:tc>
          <w:tcPr>
            <w:tcW w:w="1377" w:type="dxa"/>
            <w:tcBorders>
              <w:top w:val="single" w:color="auto" w:sz="2" w:space="0"/>
              <w:left w:val="single" w:color="auto" w:sz="2" w:space="0"/>
              <w:bottom w:val="single" w:color="auto" w:sz="2" w:space="0"/>
              <w:right w:val="single" w:color="auto" w:sz="2" w:space="0"/>
            </w:tcBorders>
            <w:vAlign w:val="center"/>
          </w:tcPr>
          <w:p w14:paraId="61FA879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32399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2,338,202.06</w:t>
            </w:r>
          </w:p>
        </w:tc>
      </w:tr>
      <w:tr w14:paraId="4AD171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EAE9E9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非流动负债</w:t>
            </w:r>
          </w:p>
        </w:tc>
        <w:tc>
          <w:tcPr>
            <w:tcW w:w="1377" w:type="dxa"/>
            <w:tcBorders>
              <w:top w:val="single" w:color="auto" w:sz="2" w:space="0"/>
              <w:left w:val="single" w:color="auto" w:sz="2" w:space="0"/>
              <w:bottom w:val="single" w:color="auto" w:sz="2" w:space="0"/>
              <w:right w:val="single" w:color="auto" w:sz="2" w:space="0"/>
            </w:tcBorders>
            <w:vAlign w:val="center"/>
          </w:tcPr>
          <w:p w14:paraId="63E1BB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1,022,336.55</w:t>
            </w:r>
          </w:p>
        </w:tc>
        <w:tc>
          <w:tcPr>
            <w:tcW w:w="1377" w:type="dxa"/>
            <w:tcBorders>
              <w:top w:val="single" w:color="auto" w:sz="2" w:space="0"/>
              <w:left w:val="single" w:color="auto" w:sz="2" w:space="0"/>
              <w:bottom w:val="single" w:color="auto" w:sz="2" w:space="0"/>
              <w:right w:val="single" w:color="auto" w:sz="2" w:space="0"/>
            </w:tcBorders>
            <w:vAlign w:val="center"/>
          </w:tcPr>
          <w:p w14:paraId="782917D3">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3AA5C2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1,979,042.79</w:t>
            </w:r>
          </w:p>
        </w:tc>
        <w:tc>
          <w:tcPr>
            <w:tcW w:w="1377" w:type="dxa"/>
            <w:tcBorders>
              <w:top w:val="single" w:color="auto" w:sz="2" w:space="0"/>
              <w:left w:val="single" w:color="auto" w:sz="2" w:space="0"/>
              <w:bottom w:val="single" w:color="auto" w:sz="2" w:space="0"/>
              <w:right w:val="single" w:color="auto" w:sz="2" w:space="0"/>
            </w:tcBorders>
            <w:vAlign w:val="center"/>
          </w:tcPr>
          <w:p w14:paraId="64F727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273,165.60</w:t>
            </w:r>
          </w:p>
        </w:tc>
        <w:tc>
          <w:tcPr>
            <w:tcW w:w="1377" w:type="dxa"/>
            <w:tcBorders>
              <w:top w:val="single" w:color="auto" w:sz="2" w:space="0"/>
              <w:left w:val="single" w:color="auto" w:sz="2" w:space="0"/>
              <w:bottom w:val="single" w:color="auto" w:sz="2" w:space="0"/>
              <w:right w:val="single" w:color="auto" w:sz="2" w:space="0"/>
            </w:tcBorders>
            <w:vAlign w:val="center"/>
          </w:tcPr>
          <w:p w14:paraId="43E11FE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B93E02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1,994,447.12</w:t>
            </w:r>
          </w:p>
        </w:tc>
      </w:tr>
      <w:tr w14:paraId="1A1376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317FE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负债合计</w:t>
            </w:r>
          </w:p>
        </w:tc>
        <w:tc>
          <w:tcPr>
            <w:tcW w:w="1377" w:type="dxa"/>
            <w:tcBorders>
              <w:top w:val="single" w:color="auto" w:sz="2" w:space="0"/>
              <w:left w:val="single" w:color="auto" w:sz="2" w:space="0"/>
              <w:bottom w:val="single" w:color="auto" w:sz="2" w:space="0"/>
              <w:right w:val="single" w:color="auto" w:sz="2" w:space="0"/>
            </w:tcBorders>
            <w:vAlign w:val="center"/>
          </w:tcPr>
          <w:p w14:paraId="71B0F4D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22,858,912.75</w:t>
            </w:r>
          </w:p>
        </w:tc>
        <w:tc>
          <w:tcPr>
            <w:tcW w:w="1377" w:type="dxa"/>
            <w:tcBorders>
              <w:top w:val="single" w:color="auto" w:sz="2" w:space="0"/>
              <w:left w:val="single" w:color="auto" w:sz="2" w:space="0"/>
              <w:bottom w:val="single" w:color="auto" w:sz="2" w:space="0"/>
              <w:right w:val="single" w:color="auto" w:sz="2" w:space="0"/>
            </w:tcBorders>
            <w:vAlign w:val="center"/>
          </w:tcPr>
          <w:p w14:paraId="4F13A28A">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DA7F41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3,433,270.61</w:t>
            </w:r>
          </w:p>
        </w:tc>
        <w:tc>
          <w:tcPr>
            <w:tcW w:w="1377" w:type="dxa"/>
            <w:tcBorders>
              <w:top w:val="single" w:color="auto" w:sz="2" w:space="0"/>
              <w:left w:val="single" w:color="auto" w:sz="2" w:space="0"/>
              <w:bottom w:val="single" w:color="auto" w:sz="2" w:space="0"/>
              <w:right w:val="single" w:color="auto" w:sz="2" w:space="0"/>
            </w:tcBorders>
            <w:vAlign w:val="center"/>
          </w:tcPr>
          <w:p w14:paraId="737074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25,938,481.46</w:t>
            </w:r>
          </w:p>
        </w:tc>
        <w:tc>
          <w:tcPr>
            <w:tcW w:w="1377" w:type="dxa"/>
            <w:tcBorders>
              <w:top w:val="single" w:color="auto" w:sz="2" w:space="0"/>
              <w:left w:val="single" w:color="auto" w:sz="2" w:space="0"/>
              <w:bottom w:val="single" w:color="auto" w:sz="2" w:space="0"/>
              <w:right w:val="single" w:color="auto" w:sz="2" w:space="0"/>
            </w:tcBorders>
            <w:vAlign w:val="center"/>
          </w:tcPr>
          <w:p w14:paraId="592B6EA2">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E021A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4,332,649.18</w:t>
            </w:r>
          </w:p>
        </w:tc>
      </w:tr>
      <w:tr w14:paraId="7921F0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A487EAD">
            <w:pPr>
              <w:spacing w:before="0" w:after="0" w:line="240" w:lineRule="exact"/>
              <w:jc w:val="lef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034BE1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76D5C1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311FECD">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84D48F1">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8C2FE2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3BD0C9D">
            <w:pPr>
              <w:spacing w:before="0" w:after="0" w:line="240" w:lineRule="exact"/>
              <w:jc w:val="right"/>
              <w:rPr>
                <w:rFonts w:ascii="宋体" w:hAnsi="宋体" w:eastAsia="宋体" w:cs="宋体"/>
                <w:color w:val="auto"/>
                <w:sz w:val="18"/>
                <w:szCs w:val="18"/>
              </w:rPr>
            </w:pPr>
          </w:p>
        </w:tc>
      </w:tr>
      <w:tr w14:paraId="229139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BEFB64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少数股东权益</w:t>
            </w:r>
          </w:p>
        </w:tc>
        <w:tc>
          <w:tcPr>
            <w:tcW w:w="1377" w:type="dxa"/>
            <w:tcBorders>
              <w:top w:val="single" w:color="auto" w:sz="2" w:space="0"/>
              <w:left w:val="single" w:color="auto" w:sz="2" w:space="0"/>
              <w:bottom w:val="single" w:color="auto" w:sz="2" w:space="0"/>
              <w:right w:val="single" w:color="auto" w:sz="2" w:space="0"/>
            </w:tcBorders>
            <w:vAlign w:val="center"/>
          </w:tcPr>
          <w:p w14:paraId="1939A77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6582944">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BC7CF1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D8E7B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103D89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059DDFB">
            <w:pPr>
              <w:spacing w:before="0" w:after="0" w:line="240" w:lineRule="exact"/>
              <w:jc w:val="right"/>
              <w:rPr>
                <w:rFonts w:ascii="宋体" w:hAnsi="宋体" w:eastAsia="宋体" w:cs="宋体"/>
                <w:color w:val="auto"/>
                <w:sz w:val="18"/>
                <w:szCs w:val="18"/>
              </w:rPr>
            </w:pPr>
          </w:p>
        </w:tc>
      </w:tr>
      <w:tr w14:paraId="13BF84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0D493E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归属于母公司股东权益</w:t>
            </w:r>
          </w:p>
        </w:tc>
        <w:tc>
          <w:tcPr>
            <w:tcW w:w="1377" w:type="dxa"/>
            <w:tcBorders>
              <w:top w:val="single" w:color="auto" w:sz="2" w:space="0"/>
              <w:left w:val="single" w:color="auto" w:sz="2" w:space="0"/>
              <w:bottom w:val="single" w:color="auto" w:sz="2" w:space="0"/>
              <w:right w:val="single" w:color="auto" w:sz="2" w:space="0"/>
            </w:tcBorders>
            <w:vAlign w:val="center"/>
          </w:tcPr>
          <w:p w14:paraId="6EA1C1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62,554,187.72</w:t>
            </w:r>
          </w:p>
        </w:tc>
        <w:tc>
          <w:tcPr>
            <w:tcW w:w="1377" w:type="dxa"/>
            <w:tcBorders>
              <w:top w:val="single" w:color="auto" w:sz="2" w:space="0"/>
              <w:left w:val="single" w:color="auto" w:sz="2" w:space="0"/>
              <w:bottom w:val="single" w:color="auto" w:sz="2" w:space="0"/>
              <w:right w:val="single" w:color="auto" w:sz="2" w:space="0"/>
            </w:tcBorders>
            <w:vAlign w:val="center"/>
          </w:tcPr>
          <w:p w14:paraId="58ED32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64,000,994.59</w:t>
            </w:r>
          </w:p>
        </w:tc>
        <w:tc>
          <w:tcPr>
            <w:tcW w:w="1377" w:type="dxa"/>
            <w:tcBorders>
              <w:top w:val="single" w:color="auto" w:sz="2" w:space="0"/>
              <w:left w:val="single" w:color="auto" w:sz="2" w:space="0"/>
              <w:bottom w:val="single" w:color="auto" w:sz="2" w:space="0"/>
              <w:right w:val="single" w:color="auto" w:sz="2" w:space="0"/>
            </w:tcBorders>
            <w:vAlign w:val="center"/>
          </w:tcPr>
          <w:p w14:paraId="23538C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22,505,369.17</w:t>
            </w:r>
          </w:p>
        </w:tc>
        <w:tc>
          <w:tcPr>
            <w:tcW w:w="1377" w:type="dxa"/>
            <w:tcBorders>
              <w:top w:val="single" w:color="auto" w:sz="2" w:space="0"/>
              <w:left w:val="single" w:color="auto" w:sz="2" w:space="0"/>
              <w:bottom w:val="single" w:color="auto" w:sz="2" w:space="0"/>
              <w:right w:val="single" w:color="auto" w:sz="2" w:space="0"/>
            </w:tcBorders>
            <w:vAlign w:val="center"/>
          </w:tcPr>
          <w:p w14:paraId="216144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68,103,700.18</w:t>
            </w:r>
          </w:p>
        </w:tc>
        <w:tc>
          <w:tcPr>
            <w:tcW w:w="1377" w:type="dxa"/>
            <w:tcBorders>
              <w:top w:val="single" w:color="auto" w:sz="2" w:space="0"/>
              <w:left w:val="single" w:color="auto" w:sz="2" w:space="0"/>
              <w:bottom w:val="single" w:color="auto" w:sz="2" w:space="0"/>
              <w:right w:val="single" w:color="auto" w:sz="2" w:space="0"/>
            </w:tcBorders>
            <w:vAlign w:val="center"/>
          </w:tcPr>
          <w:p w14:paraId="35CFF6D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64,000,852.19</w:t>
            </w:r>
          </w:p>
        </w:tc>
        <w:tc>
          <w:tcPr>
            <w:tcW w:w="1377" w:type="dxa"/>
            <w:tcBorders>
              <w:top w:val="single" w:color="auto" w:sz="2" w:space="0"/>
              <w:left w:val="single" w:color="auto" w:sz="2" w:space="0"/>
              <w:bottom w:val="single" w:color="auto" w:sz="2" w:space="0"/>
              <w:right w:val="single" w:color="auto" w:sz="2" w:space="0"/>
            </w:tcBorders>
            <w:vAlign w:val="center"/>
          </w:tcPr>
          <w:p w14:paraId="522E7D1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16,562,913.52</w:t>
            </w:r>
          </w:p>
        </w:tc>
      </w:tr>
      <w:tr w14:paraId="660A5C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A1C0F9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按持股比例计算的净资产份额</w:t>
            </w:r>
          </w:p>
        </w:tc>
        <w:tc>
          <w:tcPr>
            <w:tcW w:w="1377" w:type="dxa"/>
            <w:tcBorders>
              <w:top w:val="single" w:color="auto" w:sz="2" w:space="0"/>
              <w:left w:val="single" w:color="auto" w:sz="2" w:space="0"/>
              <w:bottom w:val="single" w:color="auto" w:sz="2" w:space="0"/>
              <w:right w:val="single" w:color="auto" w:sz="2" w:space="0"/>
            </w:tcBorders>
            <w:vAlign w:val="center"/>
          </w:tcPr>
          <w:p w14:paraId="17EA4B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30,651,551.98</w:t>
            </w:r>
          </w:p>
        </w:tc>
        <w:tc>
          <w:tcPr>
            <w:tcW w:w="1377" w:type="dxa"/>
            <w:tcBorders>
              <w:top w:val="single" w:color="auto" w:sz="2" w:space="0"/>
              <w:left w:val="single" w:color="auto" w:sz="2" w:space="0"/>
              <w:bottom w:val="single" w:color="auto" w:sz="2" w:space="0"/>
              <w:right w:val="single" w:color="auto" w:sz="2" w:space="0"/>
            </w:tcBorders>
            <w:vAlign w:val="center"/>
          </w:tcPr>
          <w:p w14:paraId="300C5EA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40,000,621.62</w:t>
            </w:r>
          </w:p>
        </w:tc>
        <w:tc>
          <w:tcPr>
            <w:tcW w:w="1377" w:type="dxa"/>
            <w:tcBorders>
              <w:top w:val="single" w:color="auto" w:sz="2" w:space="0"/>
              <w:left w:val="single" w:color="auto" w:sz="2" w:space="0"/>
              <w:bottom w:val="single" w:color="auto" w:sz="2" w:space="0"/>
              <w:right w:val="single" w:color="auto" w:sz="2" w:space="0"/>
            </w:tcBorders>
            <w:vAlign w:val="center"/>
          </w:tcPr>
          <w:p w14:paraId="257CE8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8,822,104.71</w:t>
            </w:r>
          </w:p>
        </w:tc>
        <w:tc>
          <w:tcPr>
            <w:tcW w:w="1377" w:type="dxa"/>
            <w:tcBorders>
              <w:top w:val="single" w:color="auto" w:sz="2" w:space="0"/>
              <w:left w:val="single" w:color="auto" w:sz="2" w:space="0"/>
              <w:bottom w:val="single" w:color="auto" w:sz="2" w:space="0"/>
              <w:right w:val="single" w:color="auto" w:sz="2" w:space="0"/>
            </w:tcBorders>
            <w:vAlign w:val="center"/>
          </w:tcPr>
          <w:p w14:paraId="5582DCC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33,370,813.09</w:t>
            </w:r>
          </w:p>
        </w:tc>
        <w:tc>
          <w:tcPr>
            <w:tcW w:w="1377" w:type="dxa"/>
            <w:tcBorders>
              <w:top w:val="single" w:color="auto" w:sz="2" w:space="0"/>
              <w:left w:val="single" w:color="auto" w:sz="2" w:space="0"/>
              <w:bottom w:val="single" w:color="auto" w:sz="2" w:space="0"/>
              <w:right w:val="single" w:color="auto" w:sz="2" w:space="0"/>
            </w:tcBorders>
            <w:vAlign w:val="center"/>
          </w:tcPr>
          <w:p w14:paraId="31CDFE6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40,000,532.62</w:t>
            </w:r>
          </w:p>
        </w:tc>
        <w:tc>
          <w:tcPr>
            <w:tcW w:w="1377" w:type="dxa"/>
            <w:tcBorders>
              <w:top w:val="single" w:color="auto" w:sz="2" w:space="0"/>
              <w:left w:val="single" w:color="auto" w:sz="2" w:space="0"/>
              <w:bottom w:val="single" w:color="auto" w:sz="2" w:space="0"/>
              <w:right w:val="single" w:color="auto" w:sz="2" w:space="0"/>
            </w:tcBorders>
            <w:vAlign w:val="center"/>
          </w:tcPr>
          <w:p w14:paraId="78ECC2F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6,492,662.10</w:t>
            </w:r>
          </w:p>
        </w:tc>
      </w:tr>
      <w:tr w14:paraId="3036A5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BB243D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调整事项</w:t>
            </w:r>
          </w:p>
        </w:tc>
        <w:tc>
          <w:tcPr>
            <w:tcW w:w="1377" w:type="dxa"/>
            <w:tcBorders>
              <w:top w:val="single" w:color="auto" w:sz="2" w:space="0"/>
              <w:left w:val="single" w:color="auto" w:sz="2" w:space="0"/>
              <w:bottom w:val="single" w:color="auto" w:sz="2" w:space="0"/>
              <w:right w:val="single" w:color="auto" w:sz="2" w:space="0"/>
            </w:tcBorders>
            <w:vAlign w:val="center"/>
          </w:tcPr>
          <w:p w14:paraId="672617A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930D2FD">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D37A861">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F6B412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7843FC8">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19D7528">
            <w:pPr>
              <w:spacing w:before="0" w:after="0" w:line="240" w:lineRule="exact"/>
              <w:jc w:val="right"/>
              <w:rPr>
                <w:rFonts w:ascii="宋体" w:hAnsi="宋体" w:eastAsia="宋体" w:cs="宋体"/>
                <w:color w:val="auto"/>
                <w:sz w:val="18"/>
                <w:szCs w:val="18"/>
              </w:rPr>
            </w:pPr>
          </w:p>
        </w:tc>
      </w:tr>
      <w:tr w14:paraId="21B640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1F296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--商誉</w:t>
            </w:r>
          </w:p>
        </w:tc>
        <w:tc>
          <w:tcPr>
            <w:tcW w:w="1377" w:type="dxa"/>
            <w:tcBorders>
              <w:top w:val="single" w:color="auto" w:sz="2" w:space="0"/>
              <w:left w:val="single" w:color="auto" w:sz="2" w:space="0"/>
              <w:bottom w:val="single" w:color="auto" w:sz="2" w:space="0"/>
              <w:right w:val="single" w:color="auto" w:sz="2" w:space="0"/>
            </w:tcBorders>
            <w:vAlign w:val="center"/>
          </w:tcPr>
          <w:p w14:paraId="7EBE9AE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AC585F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1FB2362">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6522254">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D7531F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C6B4EC5">
            <w:pPr>
              <w:spacing w:before="0" w:after="0" w:line="240" w:lineRule="exact"/>
              <w:jc w:val="right"/>
              <w:rPr>
                <w:rFonts w:ascii="宋体" w:hAnsi="宋体" w:eastAsia="宋体" w:cs="宋体"/>
                <w:color w:val="auto"/>
                <w:sz w:val="18"/>
                <w:szCs w:val="18"/>
              </w:rPr>
            </w:pPr>
          </w:p>
        </w:tc>
      </w:tr>
      <w:tr w14:paraId="693DC1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8D5238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--内部交易未实现利润</w:t>
            </w:r>
          </w:p>
        </w:tc>
        <w:tc>
          <w:tcPr>
            <w:tcW w:w="1377" w:type="dxa"/>
            <w:tcBorders>
              <w:top w:val="single" w:color="auto" w:sz="2" w:space="0"/>
              <w:left w:val="single" w:color="auto" w:sz="2" w:space="0"/>
              <w:bottom w:val="single" w:color="auto" w:sz="2" w:space="0"/>
              <w:right w:val="single" w:color="auto" w:sz="2" w:space="0"/>
            </w:tcBorders>
            <w:vAlign w:val="center"/>
          </w:tcPr>
          <w:p w14:paraId="18DC1FC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FCCD831">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F00FD26">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D7894A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6E5AE9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7CB454">
            <w:pPr>
              <w:spacing w:before="0" w:after="0" w:line="240" w:lineRule="exact"/>
              <w:jc w:val="right"/>
              <w:rPr>
                <w:rFonts w:ascii="宋体" w:hAnsi="宋体" w:eastAsia="宋体" w:cs="宋体"/>
                <w:color w:val="auto"/>
                <w:sz w:val="18"/>
                <w:szCs w:val="18"/>
              </w:rPr>
            </w:pPr>
          </w:p>
        </w:tc>
      </w:tr>
      <w:tr w14:paraId="08C5E7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EB8D0C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1377" w:type="dxa"/>
            <w:tcBorders>
              <w:top w:val="single" w:color="auto" w:sz="2" w:space="0"/>
              <w:left w:val="single" w:color="auto" w:sz="2" w:space="0"/>
              <w:bottom w:val="single" w:color="auto" w:sz="2" w:space="0"/>
              <w:right w:val="single" w:color="auto" w:sz="2" w:space="0"/>
            </w:tcBorders>
            <w:vAlign w:val="center"/>
          </w:tcPr>
          <w:p w14:paraId="22381386">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208C3A3">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85B68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313,600.00</w:t>
            </w:r>
          </w:p>
        </w:tc>
        <w:tc>
          <w:tcPr>
            <w:tcW w:w="1377" w:type="dxa"/>
            <w:tcBorders>
              <w:top w:val="single" w:color="auto" w:sz="2" w:space="0"/>
              <w:left w:val="single" w:color="auto" w:sz="2" w:space="0"/>
              <w:bottom w:val="single" w:color="auto" w:sz="2" w:space="0"/>
              <w:right w:val="single" w:color="auto" w:sz="2" w:space="0"/>
            </w:tcBorders>
            <w:vAlign w:val="center"/>
          </w:tcPr>
          <w:p w14:paraId="06F1E86A">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F46798">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7DA65D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313,600.00</w:t>
            </w:r>
          </w:p>
        </w:tc>
      </w:tr>
      <w:tr w14:paraId="106B7B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CAEEAE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对联营企业权益投资的账面价值</w:t>
            </w:r>
          </w:p>
        </w:tc>
        <w:tc>
          <w:tcPr>
            <w:tcW w:w="1377" w:type="dxa"/>
            <w:tcBorders>
              <w:top w:val="single" w:color="auto" w:sz="2" w:space="0"/>
              <w:left w:val="single" w:color="auto" w:sz="2" w:space="0"/>
              <w:bottom w:val="single" w:color="auto" w:sz="2" w:space="0"/>
              <w:right w:val="single" w:color="auto" w:sz="2" w:space="0"/>
            </w:tcBorders>
            <w:vAlign w:val="center"/>
          </w:tcPr>
          <w:p w14:paraId="381471E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30,651,551.98</w:t>
            </w:r>
          </w:p>
        </w:tc>
        <w:tc>
          <w:tcPr>
            <w:tcW w:w="1377" w:type="dxa"/>
            <w:tcBorders>
              <w:top w:val="single" w:color="auto" w:sz="2" w:space="0"/>
              <w:left w:val="single" w:color="auto" w:sz="2" w:space="0"/>
              <w:bottom w:val="single" w:color="auto" w:sz="2" w:space="0"/>
              <w:right w:val="single" w:color="auto" w:sz="2" w:space="0"/>
            </w:tcBorders>
            <w:vAlign w:val="center"/>
          </w:tcPr>
          <w:p w14:paraId="36AD353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40,000,621.62</w:t>
            </w:r>
          </w:p>
        </w:tc>
        <w:tc>
          <w:tcPr>
            <w:tcW w:w="1377" w:type="dxa"/>
            <w:tcBorders>
              <w:top w:val="single" w:color="auto" w:sz="2" w:space="0"/>
              <w:left w:val="single" w:color="auto" w:sz="2" w:space="0"/>
              <w:bottom w:val="single" w:color="auto" w:sz="2" w:space="0"/>
              <w:right w:val="single" w:color="auto" w:sz="2" w:space="0"/>
            </w:tcBorders>
            <w:vAlign w:val="center"/>
          </w:tcPr>
          <w:p w14:paraId="551B64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9,135,704.71</w:t>
            </w:r>
          </w:p>
        </w:tc>
        <w:tc>
          <w:tcPr>
            <w:tcW w:w="1377" w:type="dxa"/>
            <w:tcBorders>
              <w:top w:val="single" w:color="auto" w:sz="2" w:space="0"/>
              <w:left w:val="single" w:color="auto" w:sz="2" w:space="0"/>
              <w:bottom w:val="single" w:color="auto" w:sz="2" w:space="0"/>
              <w:right w:val="single" w:color="auto" w:sz="2" w:space="0"/>
            </w:tcBorders>
            <w:vAlign w:val="center"/>
          </w:tcPr>
          <w:p w14:paraId="599B296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33,370,813.09</w:t>
            </w:r>
          </w:p>
        </w:tc>
        <w:tc>
          <w:tcPr>
            <w:tcW w:w="1377" w:type="dxa"/>
            <w:tcBorders>
              <w:top w:val="single" w:color="auto" w:sz="2" w:space="0"/>
              <w:left w:val="single" w:color="auto" w:sz="2" w:space="0"/>
              <w:bottom w:val="single" w:color="auto" w:sz="2" w:space="0"/>
              <w:right w:val="single" w:color="auto" w:sz="2" w:space="0"/>
            </w:tcBorders>
            <w:vAlign w:val="center"/>
          </w:tcPr>
          <w:p w14:paraId="246D69D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40,000,532.62</w:t>
            </w:r>
          </w:p>
        </w:tc>
        <w:tc>
          <w:tcPr>
            <w:tcW w:w="1377" w:type="dxa"/>
            <w:tcBorders>
              <w:top w:val="single" w:color="auto" w:sz="2" w:space="0"/>
              <w:left w:val="single" w:color="auto" w:sz="2" w:space="0"/>
              <w:bottom w:val="single" w:color="auto" w:sz="2" w:space="0"/>
              <w:right w:val="single" w:color="auto" w:sz="2" w:space="0"/>
            </w:tcBorders>
            <w:vAlign w:val="center"/>
          </w:tcPr>
          <w:p w14:paraId="3762B3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6,806,262.10</w:t>
            </w:r>
          </w:p>
        </w:tc>
      </w:tr>
      <w:tr w14:paraId="6D085D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EE420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存在公开报价的联营企业权益投资的公允价值</w:t>
            </w:r>
          </w:p>
        </w:tc>
        <w:tc>
          <w:tcPr>
            <w:tcW w:w="1377" w:type="dxa"/>
            <w:tcBorders>
              <w:top w:val="single" w:color="auto" w:sz="2" w:space="0"/>
              <w:left w:val="single" w:color="auto" w:sz="2" w:space="0"/>
              <w:bottom w:val="single" w:color="auto" w:sz="2" w:space="0"/>
              <w:right w:val="single" w:color="auto" w:sz="2" w:space="0"/>
            </w:tcBorders>
            <w:vAlign w:val="center"/>
          </w:tcPr>
          <w:p w14:paraId="690D30AC">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D79EABA">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6F239E8">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367DD7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6DDA42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E6F1006">
            <w:pPr>
              <w:spacing w:before="0" w:after="0" w:line="240" w:lineRule="exact"/>
              <w:jc w:val="right"/>
              <w:rPr>
                <w:rFonts w:ascii="宋体" w:hAnsi="宋体" w:eastAsia="宋体" w:cs="宋体"/>
                <w:color w:val="auto"/>
                <w:sz w:val="18"/>
                <w:szCs w:val="18"/>
              </w:rPr>
            </w:pPr>
          </w:p>
        </w:tc>
      </w:tr>
      <w:tr w14:paraId="039CD5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DFA6DD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营业收入</w:t>
            </w:r>
          </w:p>
        </w:tc>
        <w:tc>
          <w:tcPr>
            <w:tcW w:w="1377" w:type="dxa"/>
            <w:tcBorders>
              <w:top w:val="single" w:color="auto" w:sz="2" w:space="0"/>
              <w:left w:val="single" w:color="auto" w:sz="2" w:space="0"/>
              <w:bottom w:val="single" w:color="auto" w:sz="2" w:space="0"/>
              <w:right w:val="single" w:color="auto" w:sz="2" w:space="0"/>
            </w:tcBorders>
            <w:vAlign w:val="center"/>
          </w:tcPr>
          <w:p w14:paraId="4EE94D8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2,991,458.24</w:t>
            </w:r>
          </w:p>
        </w:tc>
        <w:tc>
          <w:tcPr>
            <w:tcW w:w="1377" w:type="dxa"/>
            <w:tcBorders>
              <w:top w:val="single" w:color="auto" w:sz="2" w:space="0"/>
              <w:left w:val="single" w:color="auto" w:sz="2" w:space="0"/>
              <w:bottom w:val="single" w:color="auto" w:sz="2" w:space="0"/>
              <w:right w:val="single" w:color="auto" w:sz="2" w:space="0"/>
            </w:tcBorders>
            <w:vAlign w:val="center"/>
          </w:tcPr>
          <w:p w14:paraId="1CA3CBB5">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021DE5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-1,574,130.38</w:t>
            </w:r>
          </w:p>
        </w:tc>
        <w:tc>
          <w:tcPr>
            <w:tcW w:w="1377" w:type="dxa"/>
            <w:tcBorders>
              <w:top w:val="single" w:color="auto" w:sz="2" w:space="0"/>
              <w:left w:val="single" w:color="auto" w:sz="2" w:space="0"/>
              <w:bottom w:val="single" w:color="auto" w:sz="2" w:space="0"/>
              <w:right w:val="single" w:color="auto" w:sz="2" w:space="0"/>
            </w:tcBorders>
            <w:vAlign w:val="center"/>
          </w:tcPr>
          <w:p w14:paraId="13F6E2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-795,863.18</w:t>
            </w:r>
          </w:p>
        </w:tc>
        <w:tc>
          <w:tcPr>
            <w:tcW w:w="1377" w:type="dxa"/>
            <w:tcBorders>
              <w:top w:val="single" w:color="auto" w:sz="2" w:space="0"/>
              <w:left w:val="single" w:color="auto" w:sz="2" w:space="0"/>
              <w:bottom w:val="single" w:color="auto" w:sz="2" w:space="0"/>
              <w:right w:val="single" w:color="auto" w:sz="2" w:space="0"/>
            </w:tcBorders>
            <w:vAlign w:val="center"/>
          </w:tcPr>
          <w:p w14:paraId="2B400B0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A336FF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3,039.43</w:t>
            </w:r>
          </w:p>
        </w:tc>
      </w:tr>
      <w:tr w14:paraId="14F1F6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DFF59A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净利润</w:t>
            </w:r>
          </w:p>
        </w:tc>
        <w:tc>
          <w:tcPr>
            <w:tcW w:w="1377" w:type="dxa"/>
            <w:tcBorders>
              <w:top w:val="single" w:color="auto" w:sz="2" w:space="0"/>
              <w:left w:val="single" w:color="auto" w:sz="2" w:space="0"/>
              <w:bottom w:val="single" w:color="auto" w:sz="2" w:space="0"/>
              <w:right w:val="single" w:color="auto" w:sz="2" w:space="0"/>
            </w:tcBorders>
            <w:vAlign w:val="center"/>
          </w:tcPr>
          <w:p w14:paraId="13BAD8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-5,080,555.68</w:t>
            </w:r>
          </w:p>
        </w:tc>
        <w:tc>
          <w:tcPr>
            <w:tcW w:w="1377" w:type="dxa"/>
            <w:tcBorders>
              <w:top w:val="single" w:color="auto" w:sz="2" w:space="0"/>
              <w:left w:val="single" w:color="auto" w:sz="2" w:space="0"/>
              <w:bottom w:val="single" w:color="auto" w:sz="2" w:space="0"/>
              <w:right w:val="single" w:color="auto" w:sz="2" w:space="0"/>
            </w:tcBorders>
            <w:vAlign w:val="center"/>
          </w:tcPr>
          <w:p w14:paraId="3353250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142.40</w:t>
            </w:r>
          </w:p>
        </w:tc>
        <w:tc>
          <w:tcPr>
            <w:tcW w:w="1377" w:type="dxa"/>
            <w:tcBorders>
              <w:top w:val="single" w:color="auto" w:sz="2" w:space="0"/>
              <w:left w:val="single" w:color="auto" w:sz="2" w:space="0"/>
              <w:bottom w:val="single" w:color="auto" w:sz="2" w:space="0"/>
              <w:right w:val="single" w:color="auto" w:sz="2" w:space="0"/>
            </w:tcBorders>
            <w:vAlign w:val="center"/>
          </w:tcPr>
          <w:p w14:paraId="032EB37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-1,339,497.07</w:t>
            </w:r>
          </w:p>
        </w:tc>
        <w:tc>
          <w:tcPr>
            <w:tcW w:w="1377" w:type="dxa"/>
            <w:tcBorders>
              <w:top w:val="single" w:color="auto" w:sz="2" w:space="0"/>
              <w:left w:val="single" w:color="auto" w:sz="2" w:space="0"/>
              <w:bottom w:val="single" w:color="auto" w:sz="2" w:space="0"/>
              <w:right w:val="single" w:color="auto" w:sz="2" w:space="0"/>
            </w:tcBorders>
            <w:vAlign w:val="center"/>
          </w:tcPr>
          <w:p w14:paraId="3D4112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-4,179,901.92</w:t>
            </w:r>
          </w:p>
        </w:tc>
        <w:tc>
          <w:tcPr>
            <w:tcW w:w="1377" w:type="dxa"/>
            <w:tcBorders>
              <w:top w:val="single" w:color="auto" w:sz="2" w:space="0"/>
              <w:left w:val="single" w:color="auto" w:sz="2" w:space="0"/>
              <w:bottom w:val="single" w:color="auto" w:sz="2" w:space="0"/>
              <w:right w:val="single" w:color="auto" w:sz="2" w:space="0"/>
            </w:tcBorders>
            <w:vAlign w:val="center"/>
          </w:tcPr>
          <w:p w14:paraId="30A348F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19.17</w:t>
            </w:r>
          </w:p>
        </w:tc>
        <w:tc>
          <w:tcPr>
            <w:tcW w:w="1377" w:type="dxa"/>
            <w:tcBorders>
              <w:top w:val="single" w:color="auto" w:sz="2" w:space="0"/>
              <w:left w:val="single" w:color="auto" w:sz="2" w:space="0"/>
              <w:bottom w:val="single" w:color="auto" w:sz="2" w:space="0"/>
              <w:right w:val="single" w:color="auto" w:sz="2" w:space="0"/>
            </w:tcBorders>
            <w:vAlign w:val="center"/>
          </w:tcPr>
          <w:p w14:paraId="3EEA04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72,904.99</w:t>
            </w:r>
          </w:p>
        </w:tc>
      </w:tr>
      <w:tr w14:paraId="2A793A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5EB0A0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终止经营的净利润</w:t>
            </w:r>
          </w:p>
        </w:tc>
        <w:tc>
          <w:tcPr>
            <w:tcW w:w="1377" w:type="dxa"/>
            <w:tcBorders>
              <w:top w:val="single" w:color="auto" w:sz="2" w:space="0"/>
              <w:left w:val="single" w:color="auto" w:sz="2" w:space="0"/>
              <w:bottom w:val="single" w:color="auto" w:sz="2" w:space="0"/>
              <w:right w:val="single" w:color="auto" w:sz="2" w:space="0"/>
            </w:tcBorders>
            <w:vAlign w:val="center"/>
          </w:tcPr>
          <w:p w14:paraId="6312BD4A">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405D04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FB65F4C">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FD368A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48227C3">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B554186">
            <w:pPr>
              <w:spacing w:before="0" w:after="0" w:line="240" w:lineRule="exact"/>
              <w:jc w:val="right"/>
              <w:rPr>
                <w:rFonts w:ascii="宋体" w:hAnsi="宋体" w:eastAsia="宋体" w:cs="宋体"/>
                <w:color w:val="auto"/>
                <w:sz w:val="18"/>
                <w:szCs w:val="18"/>
              </w:rPr>
            </w:pPr>
          </w:p>
        </w:tc>
      </w:tr>
      <w:tr w14:paraId="43C13E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FA0F30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其他综合收益</w:t>
            </w:r>
          </w:p>
        </w:tc>
        <w:tc>
          <w:tcPr>
            <w:tcW w:w="1377" w:type="dxa"/>
            <w:tcBorders>
              <w:top w:val="single" w:color="auto" w:sz="2" w:space="0"/>
              <w:left w:val="single" w:color="auto" w:sz="2" w:space="0"/>
              <w:bottom w:val="single" w:color="auto" w:sz="2" w:space="0"/>
              <w:right w:val="single" w:color="auto" w:sz="2" w:space="0"/>
            </w:tcBorders>
            <w:vAlign w:val="center"/>
          </w:tcPr>
          <w:p w14:paraId="324618D8">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E9992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F36C3F6">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E64E6C1">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4AC46F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B8EEFCD">
            <w:pPr>
              <w:spacing w:before="0" w:after="0" w:line="240" w:lineRule="exact"/>
              <w:jc w:val="right"/>
              <w:rPr>
                <w:rFonts w:ascii="宋体" w:hAnsi="宋体" w:eastAsia="宋体" w:cs="宋体"/>
                <w:color w:val="auto"/>
                <w:sz w:val="18"/>
                <w:szCs w:val="18"/>
              </w:rPr>
            </w:pPr>
          </w:p>
        </w:tc>
      </w:tr>
      <w:tr w14:paraId="5D0A42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4263C9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综合收益总额</w:t>
            </w:r>
          </w:p>
        </w:tc>
        <w:tc>
          <w:tcPr>
            <w:tcW w:w="1377" w:type="dxa"/>
            <w:tcBorders>
              <w:top w:val="single" w:color="auto" w:sz="2" w:space="0"/>
              <w:left w:val="single" w:color="auto" w:sz="2" w:space="0"/>
              <w:bottom w:val="single" w:color="auto" w:sz="2" w:space="0"/>
              <w:right w:val="single" w:color="auto" w:sz="2" w:space="0"/>
            </w:tcBorders>
            <w:vAlign w:val="center"/>
          </w:tcPr>
          <w:p w14:paraId="63F946A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-5,080,555.68</w:t>
            </w:r>
          </w:p>
        </w:tc>
        <w:tc>
          <w:tcPr>
            <w:tcW w:w="1377" w:type="dxa"/>
            <w:tcBorders>
              <w:top w:val="single" w:color="auto" w:sz="2" w:space="0"/>
              <w:left w:val="single" w:color="auto" w:sz="2" w:space="0"/>
              <w:bottom w:val="single" w:color="auto" w:sz="2" w:space="0"/>
              <w:right w:val="single" w:color="auto" w:sz="2" w:space="0"/>
            </w:tcBorders>
            <w:vAlign w:val="center"/>
          </w:tcPr>
          <w:p w14:paraId="78C438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142.40</w:t>
            </w:r>
          </w:p>
        </w:tc>
        <w:tc>
          <w:tcPr>
            <w:tcW w:w="1377" w:type="dxa"/>
            <w:tcBorders>
              <w:top w:val="single" w:color="auto" w:sz="2" w:space="0"/>
              <w:left w:val="single" w:color="auto" w:sz="2" w:space="0"/>
              <w:bottom w:val="single" w:color="auto" w:sz="2" w:space="0"/>
              <w:right w:val="single" w:color="auto" w:sz="2" w:space="0"/>
            </w:tcBorders>
            <w:vAlign w:val="center"/>
          </w:tcPr>
          <w:p w14:paraId="32ED79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-1,339,497.07</w:t>
            </w:r>
          </w:p>
        </w:tc>
        <w:tc>
          <w:tcPr>
            <w:tcW w:w="1377" w:type="dxa"/>
            <w:tcBorders>
              <w:top w:val="single" w:color="auto" w:sz="2" w:space="0"/>
              <w:left w:val="single" w:color="auto" w:sz="2" w:space="0"/>
              <w:bottom w:val="single" w:color="auto" w:sz="2" w:space="0"/>
              <w:right w:val="single" w:color="auto" w:sz="2" w:space="0"/>
            </w:tcBorders>
            <w:vAlign w:val="center"/>
          </w:tcPr>
          <w:p w14:paraId="505E2F9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-4,179,901.92</w:t>
            </w:r>
          </w:p>
        </w:tc>
        <w:tc>
          <w:tcPr>
            <w:tcW w:w="1377" w:type="dxa"/>
            <w:tcBorders>
              <w:top w:val="single" w:color="auto" w:sz="2" w:space="0"/>
              <w:left w:val="single" w:color="auto" w:sz="2" w:space="0"/>
              <w:bottom w:val="single" w:color="auto" w:sz="2" w:space="0"/>
              <w:right w:val="single" w:color="auto" w:sz="2" w:space="0"/>
            </w:tcBorders>
            <w:vAlign w:val="center"/>
          </w:tcPr>
          <w:p w14:paraId="30927F4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19.17</w:t>
            </w:r>
          </w:p>
        </w:tc>
        <w:tc>
          <w:tcPr>
            <w:tcW w:w="1377" w:type="dxa"/>
            <w:tcBorders>
              <w:top w:val="single" w:color="auto" w:sz="2" w:space="0"/>
              <w:left w:val="single" w:color="auto" w:sz="2" w:space="0"/>
              <w:bottom w:val="single" w:color="auto" w:sz="2" w:space="0"/>
              <w:right w:val="single" w:color="auto" w:sz="2" w:space="0"/>
            </w:tcBorders>
            <w:vAlign w:val="center"/>
          </w:tcPr>
          <w:p w14:paraId="7B5588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72,904.99</w:t>
            </w:r>
          </w:p>
        </w:tc>
      </w:tr>
      <w:tr w14:paraId="47B081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FD48A78">
            <w:pPr>
              <w:spacing w:before="0" w:after="0" w:line="240" w:lineRule="exact"/>
              <w:jc w:val="lef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3F995B5">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C3C00A1">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FFD5A72">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977C109">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B94B4D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D73E5B2">
            <w:pPr>
              <w:spacing w:before="0" w:after="0" w:line="240" w:lineRule="exact"/>
              <w:jc w:val="right"/>
              <w:rPr>
                <w:rFonts w:ascii="宋体" w:hAnsi="宋体" w:eastAsia="宋体" w:cs="宋体"/>
                <w:color w:val="auto"/>
                <w:sz w:val="18"/>
                <w:szCs w:val="18"/>
              </w:rPr>
            </w:pPr>
          </w:p>
        </w:tc>
      </w:tr>
      <w:tr w14:paraId="679BB2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351FBF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本年度收到的来自联营企业的股利</w:t>
            </w:r>
          </w:p>
        </w:tc>
        <w:tc>
          <w:tcPr>
            <w:tcW w:w="1377" w:type="dxa"/>
            <w:tcBorders>
              <w:top w:val="single" w:color="auto" w:sz="2" w:space="0"/>
              <w:left w:val="single" w:color="auto" w:sz="2" w:space="0"/>
              <w:bottom w:val="single" w:color="auto" w:sz="2" w:space="0"/>
              <w:right w:val="single" w:color="auto" w:sz="2" w:space="0"/>
            </w:tcBorders>
            <w:vAlign w:val="center"/>
          </w:tcPr>
          <w:p w14:paraId="7EB05F88">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1973BF5">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EB562C">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EF7A76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E80836A">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6FB21E6">
            <w:pPr>
              <w:spacing w:before="0" w:after="0" w:line="240" w:lineRule="exact"/>
              <w:jc w:val="right"/>
              <w:rPr>
                <w:rFonts w:ascii="宋体" w:hAnsi="宋体" w:eastAsia="宋体" w:cs="宋体"/>
                <w:color w:val="auto"/>
                <w:sz w:val="18"/>
                <w:szCs w:val="18"/>
              </w:rPr>
            </w:pPr>
          </w:p>
        </w:tc>
      </w:tr>
    </w:tbl>
    <w:p w14:paraId="06B11A3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5E69E955">
      <w:pPr>
        <w:keepNext/>
        <w:keepLines/>
        <w:spacing w:before="300" w:after="300" w:line="280" w:lineRule="exact"/>
        <w:jc w:val="left"/>
        <w:outlineLvl w:val="3"/>
        <w:rPr>
          <w:rFonts w:ascii="宋体" w:hAnsi="宋体" w:eastAsia="宋体" w:cs="宋体"/>
          <w:b/>
          <w:bCs/>
          <w:color w:val="auto"/>
          <w:sz w:val="21"/>
          <w:szCs w:val="21"/>
        </w:rPr>
      </w:pPr>
      <w:bookmarkStart w:id="338" w:name="_Toc989314"/>
      <w:r>
        <w:rPr>
          <w:rFonts w:ascii="宋体" w:hAnsi="宋体" w:eastAsia="宋体" w:cs="宋体"/>
          <w:b/>
          <w:bCs/>
          <w:color w:val="auto"/>
          <w:sz w:val="21"/>
          <w:szCs w:val="21"/>
        </w:rPr>
        <w:t>（4）不重要的合营企业和联营企业的汇总财务信息</w:t>
      </w:r>
      <w:bookmarkEnd w:id="338"/>
    </w:p>
    <w:p w14:paraId="3A90ADA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66A7B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6253E0">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C81FA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BAEFA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期初余额/上期发生额</w:t>
            </w:r>
          </w:p>
        </w:tc>
      </w:tr>
      <w:tr w14:paraId="5AA5D7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F0E57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合营企业：</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129CDE">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837AF1">
            <w:pPr>
              <w:rPr>
                <w:color w:val="auto"/>
              </w:rPr>
            </w:pPr>
          </w:p>
        </w:tc>
      </w:tr>
      <w:tr w14:paraId="1BB47A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E87A0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下列各项按持股比例计算的合计数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0F3C02">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5D7E27">
            <w:pPr>
              <w:rPr>
                <w:color w:val="auto"/>
              </w:rPr>
            </w:pPr>
          </w:p>
        </w:tc>
      </w:tr>
      <w:tr w14:paraId="6E21E9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23553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联营企业：</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9DFECC">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046359">
            <w:pPr>
              <w:rPr>
                <w:color w:val="auto"/>
              </w:rPr>
            </w:pPr>
          </w:p>
        </w:tc>
      </w:tr>
      <w:tr w14:paraId="24FF86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F86C0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下列各项按持股比例计算的合计数</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60F642">
            <w:pPr>
              <w:rPr>
                <w:color w:val="auto"/>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1939AA">
            <w:pPr>
              <w:rPr>
                <w:color w:val="auto"/>
              </w:rPr>
            </w:pPr>
          </w:p>
        </w:tc>
      </w:tr>
    </w:tbl>
    <w:p w14:paraId="3AC8F6A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4864F608">
      <w:pPr>
        <w:keepNext/>
        <w:keepLines/>
        <w:spacing w:before="300" w:after="300" w:line="280" w:lineRule="exact"/>
        <w:jc w:val="left"/>
        <w:outlineLvl w:val="3"/>
        <w:rPr>
          <w:rFonts w:ascii="宋体" w:hAnsi="宋体" w:eastAsia="宋体" w:cs="宋体"/>
          <w:b/>
          <w:bCs/>
          <w:color w:val="auto"/>
          <w:sz w:val="21"/>
          <w:szCs w:val="21"/>
        </w:rPr>
      </w:pPr>
      <w:bookmarkStart w:id="339" w:name="_Toc989315"/>
      <w:r>
        <w:rPr>
          <w:rFonts w:ascii="宋体" w:hAnsi="宋体" w:eastAsia="宋体" w:cs="宋体"/>
          <w:b/>
          <w:bCs/>
          <w:color w:val="auto"/>
          <w:sz w:val="21"/>
          <w:szCs w:val="21"/>
        </w:rPr>
        <w:t>（5）合营企业或联营企业向本公司转移资金的能力存在重大限制的说明</w:t>
      </w:r>
      <w:bookmarkEnd w:id="339"/>
    </w:p>
    <w:p w14:paraId="00C3C70B">
      <w:pPr>
        <w:keepNext/>
        <w:keepLines/>
        <w:spacing w:before="300" w:after="300" w:line="280" w:lineRule="exact"/>
        <w:jc w:val="left"/>
        <w:outlineLvl w:val="3"/>
        <w:rPr>
          <w:rFonts w:ascii="宋体" w:hAnsi="宋体" w:eastAsia="宋体" w:cs="宋体"/>
          <w:b/>
          <w:bCs/>
          <w:color w:val="auto"/>
          <w:sz w:val="21"/>
          <w:szCs w:val="21"/>
        </w:rPr>
      </w:pPr>
      <w:bookmarkStart w:id="340" w:name="_Toc989316"/>
      <w:r>
        <w:rPr>
          <w:rFonts w:ascii="宋体" w:hAnsi="宋体" w:eastAsia="宋体" w:cs="宋体"/>
          <w:b/>
          <w:bCs/>
          <w:color w:val="auto"/>
          <w:sz w:val="21"/>
          <w:szCs w:val="21"/>
        </w:rPr>
        <w:t>（6）合营企业或联营企业发生的超额亏损</w:t>
      </w:r>
      <w:bookmarkEnd w:id="340"/>
    </w:p>
    <w:p w14:paraId="63617E4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6A6CD7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E63E4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合营企业或联营企业名称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C31104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累积未确认前期累计的损失</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E2EB5D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本期未确认的损失（或本期分享的净利润）</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3DCD93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本期末累积未确认的损失</w:t>
            </w:r>
          </w:p>
        </w:tc>
      </w:tr>
    </w:tbl>
    <w:p w14:paraId="2E22521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3A8887E7">
      <w:pPr>
        <w:keepNext/>
        <w:keepLines/>
        <w:spacing w:before="300" w:after="300" w:line="280" w:lineRule="exact"/>
        <w:jc w:val="left"/>
        <w:outlineLvl w:val="3"/>
        <w:rPr>
          <w:rFonts w:ascii="宋体" w:hAnsi="宋体" w:eastAsia="宋体" w:cs="宋体"/>
          <w:b/>
          <w:bCs/>
          <w:color w:val="auto"/>
          <w:sz w:val="21"/>
          <w:szCs w:val="21"/>
        </w:rPr>
      </w:pPr>
      <w:bookmarkStart w:id="341" w:name="_Toc989317"/>
      <w:r>
        <w:rPr>
          <w:rFonts w:ascii="宋体" w:hAnsi="宋体" w:eastAsia="宋体" w:cs="宋体"/>
          <w:b/>
          <w:bCs/>
          <w:color w:val="auto"/>
          <w:sz w:val="21"/>
          <w:szCs w:val="21"/>
        </w:rPr>
        <w:t>（7）与合营企业投资相关的未确认承诺</w:t>
      </w:r>
      <w:bookmarkEnd w:id="341"/>
    </w:p>
    <w:p w14:paraId="6842E466">
      <w:pPr>
        <w:keepNext/>
        <w:keepLines/>
        <w:spacing w:before="300" w:after="300" w:line="280" w:lineRule="exact"/>
        <w:jc w:val="left"/>
        <w:outlineLvl w:val="3"/>
        <w:rPr>
          <w:rFonts w:ascii="宋体" w:hAnsi="宋体" w:eastAsia="宋体" w:cs="宋体"/>
          <w:b/>
          <w:bCs/>
          <w:color w:val="auto"/>
          <w:sz w:val="21"/>
          <w:szCs w:val="21"/>
        </w:rPr>
      </w:pPr>
      <w:bookmarkStart w:id="342" w:name="_Toc989318"/>
      <w:r>
        <w:rPr>
          <w:rFonts w:ascii="宋体" w:hAnsi="宋体" w:eastAsia="宋体" w:cs="宋体"/>
          <w:b/>
          <w:bCs/>
          <w:color w:val="auto"/>
          <w:sz w:val="21"/>
          <w:szCs w:val="21"/>
        </w:rPr>
        <w:t>（8）与合营企业或联营企业投资相关的或有负债</w:t>
      </w:r>
      <w:bookmarkEnd w:id="342"/>
    </w:p>
    <w:p w14:paraId="57142D26">
      <w:pPr>
        <w:keepNext/>
        <w:keepLines/>
        <w:spacing w:before="300" w:after="300" w:line="280" w:lineRule="exact"/>
        <w:jc w:val="left"/>
        <w:outlineLvl w:val="2"/>
        <w:rPr>
          <w:rFonts w:ascii="宋体" w:hAnsi="宋体" w:eastAsia="宋体" w:cs="宋体"/>
          <w:b/>
          <w:bCs/>
          <w:color w:val="auto"/>
          <w:sz w:val="21"/>
          <w:szCs w:val="21"/>
        </w:rPr>
      </w:pPr>
      <w:bookmarkStart w:id="343" w:name="_Toc989319"/>
      <w:r>
        <w:rPr>
          <w:rFonts w:ascii="宋体" w:hAnsi="宋体" w:eastAsia="宋体" w:cs="宋体"/>
          <w:b/>
          <w:bCs/>
          <w:color w:val="auto"/>
          <w:sz w:val="21"/>
          <w:szCs w:val="21"/>
        </w:rPr>
        <w:t>4、重要的共同经营</w:t>
      </w:r>
      <w:bookmarkEnd w:id="343"/>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67826F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102B2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共同经营名称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8E9F76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主要经营地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874CC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注册地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906FB0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业务性质</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9C5EB1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持股比例/享有的份额</w:t>
            </w:r>
          </w:p>
        </w:tc>
      </w:tr>
      <w:tr w14:paraId="670D53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166DD52">
            <w:pPr>
              <w:rPr>
                <w:color w:val="auto"/>
              </w:rPr>
            </w:pP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C836C0A">
            <w:pPr>
              <w:rPr>
                <w:color w:val="auto"/>
              </w:rPr>
            </w:pP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0FBE69">
            <w:pPr>
              <w:rPr>
                <w:color w:val="auto"/>
              </w:rPr>
            </w:pP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836BE0C">
            <w:pPr>
              <w:rPr>
                <w:color w:val="auto"/>
              </w:rPr>
            </w:pP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A6C6A6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直接</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B128A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间接</w:t>
            </w:r>
          </w:p>
        </w:tc>
      </w:tr>
    </w:tbl>
    <w:p w14:paraId="4D086A8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在共同经营中的持股比例或享有的份额不同于表决权比例的说明：</w:t>
      </w:r>
    </w:p>
    <w:p w14:paraId="68B39FF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共同经营为单独主体的，分类为共同经营的依据：</w:t>
      </w:r>
    </w:p>
    <w:p w14:paraId="21A955F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6442AF7">
      <w:pPr>
        <w:keepNext/>
        <w:keepLines/>
        <w:spacing w:before="300" w:after="300" w:line="280" w:lineRule="exact"/>
        <w:jc w:val="left"/>
        <w:outlineLvl w:val="2"/>
        <w:rPr>
          <w:rFonts w:ascii="宋体" w:hAnsi="宋体" w:eastAsia="宋体" w:cs="宋体"/>
          <w:b/>
          <w:bCs/>
          <w:color w:val="auto"/>
          <w:sz w:val="21"/>
          <w:szCs w:val="21"/>
        </w:rPr>
      </w:pPr>
      <w:bookmarkStart w:id="344" w:name="_Toc989320"/>
      <w:r>
        <w:rPr>
          <w:rFonts w:ascii="宋体" w:hAnsi="宋体" w:eastAsia="宋体" w:cs="宋体"/>
          <w:b/>
          <w:bCs/>
          <w:color w:val="auto"/>
          <w:sz w:val="21"/>
          <w:szCs w:val="21"/>
        </w:rPr>
        <w:t>5、在未纳入合并财务报表范围的结构化主体中的权益</w:t>
      </w:r>
      <w:bookmarkEnd w:id="344"/>
    </w:p>
    <w:p w14:paraId="5B06810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未纳入合并财务报表范围的结构化主体的相关说明：</w:t>
      </w:r>
    </w:p>
    <w:p w14:paraId="67F72DD7">
      <w:pPr>
        <w:keepNext/>
        <w:keepLines/>
        <w:spacing w:before="300" w:after="300" w:line="280" w:lineRule="exact"/>
        <w:jc w:val="left"/>
        <w:outlineLvl w:val="2"/>
        <w:rPr>
          <w:rFonts w:ascii="宋体" w:hAnsi="宋体" w:eastAsia="宋体" w:cs="宋体"/>
          <w:b/>
          <w:bCs/>
          <w:color w:val="auto"/>
          <w:sz w:val="21"/>
          <w:szCs w:val="21"/>
        </w:rPr>
      </w:pPr>
      <w:bookmarkStart w:id="345" w:name="_Toc989321"/>
      <w:r>
        <w:rPr>
          <w:rFonts w:ascii="宋体" w:hAnsi="宋体" w:eastAsia="宋体" w:cs="宋体"/>
          <w:b/>
          <w:bCs/>
          <w:color w:val="auto"/>
          <w:sz w:val="21"/>
          <w:szCs w:val="21"/>
        </w:rPr>
        <w:t>6、其他</w:t>
      </w:r>
      <w:bookmarkEnd w:id="345"/>
    </w:p>
    <w:p w14:paraId="5E485A44">
      <w:pPr>
        <w:keepNext/>
        <w:keepLines/>
        <w:spacing w:before="300" w:after="300" w:line="320" w:lineRule="exact"/>
        <w:jc w:val="left"/>
        <w:outlineLvl w:val="1"/>
        <w:rPr>
          <w:rFonts w:ascii="宋体" w:hAnsi="宋体" w:eastAsia="宋体" w:cs="宋体"/>
          <w:b/>
          <w:bCs/>
          <w:color w:val="auto"/>
          <w:sz w:val="24"/>
          <w:szCs w:val="24"/>
        </w:rPr>
      </w:pPr>
      <w:bookmarkStart w:id="346" w:name="_Toc989322"/>
      <w:r>
        <w:rPr>
          <w:rFonts w:ascii="宋体" w:hAnsi="宋体" w:eastAsia="宋体" w:cs="宋体"/>
          <w:b/>
          <w:bCs/>
          <w:color w:val="auto"/>
          <w:sz w:val="24"/>
          <w:szCs w:val="24"/>
        </w:rPr>
        <w:t>十一、政府补助</w:t>
      </w:r>
      <w:bookmarkEnd w:id="346"/>
    </w:p>
    <w:p w14:paraId="464464E9">
      <w:pPr>
        <w:keepNext/>
        <w:keepLines/>
        <w:spacing w:before="300" w:after="300" w:line="280" w:lineRule="exact"/>
        <w:jc w:val="left"/>
        <w:outlineLvl w:val="2"/>
        <w:rPr>
          <w:rFonts w:ascii="宋体" w:hAnsi="宋体" w:eastAsia="宋体" w:cs="宋体"/>
          <w:b/>
          <w:bCs/>
          <w:color w:val="auto"/>
          <w:sz w:val="21"/>
          <w:szCs w:val="21"/>
        </w:rPr>
      </w:pPr>
      <w:bookmarkStart w:id="347" w:name="_Toc989323"/>
      <w:r>
        <w:rPr>
          <w:rFonts w:ascii="宋体" w:hAnsi="宋体" w:eastAsia="宋体" w:cs="宋体"/>
          <w:b/>
          <w:bCs/>
          <w:color w:val="auto"/>
          <w:sz w:val="21"/>
          <w:szCs w:val="21"/>
        </w:rPr>
        <w:t>1、报告期末按应收金额确认的政府补助</w:t>
      </w:r>
      <w:bookmarkEnd w:id="347"/>
    </w:p>
    <w:p w14:paraId="3B47D39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39153AB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未能在预计时点收到预计金额的政府补助的原因</w:t>
      </w:r>
    </w:p>
    <w:p w14:paraId="4CBBD47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03894DF1">
      <w:pPr>
        <w:keepNext/>
        <w:keepLines/>
        <w:spacing w:before="300" w:after="300" w:line="280" w:lineRule="exact"/>
        <w:jc w:val="left"/>
        <w:outlineLvl w:val="2"/>
        <w:rPr>
          <w:rFonts w:ascii="宋体" w:hAnsi="宋体" w:eastAsia="宋体" w:cs="宋体"/>
          <w:b/>
          <w:bCs/>
          <w:color w:val="auto"/>
          <w:sz w:val="21"/>
          <w:szCs w:val="21"/>
        </w:rPr>
      </w:pPr>
      <w:bookmarkStart w:id="348" w:name="_Toc989324"/>
      <w:r>
        <w:rPr>
          <w:rFonts w:ascii="宋体" w:hAnsi="宋体" w:eastAsia="宋体" w:cs="宋体"/>
          <w:b/>
          <w:bCs/>
          <w:color w:val="auto"/>
          <w:sz w:val="21"/>
          <w:szCs w:val="21"/>
        </w:rPr>
        <w:t>2、涉及政府补助的负债项目</w:t>
      </w:r>
      <w:bookmarkEnd w:id="348"/>
    </w:p>
    <w:p w14:paraId="74256A0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sym w:font="Wingdings 2" w:char="F052"/>
      </w:r>
      <w:r>
        <w:rPr>
          <w:rFonts w:ascii="宋体" w:hAnsi="宋体" w:eastAsia="宋体" w:cs="宋体"/>
          <w:color w:val="auto"/>
          <w:sz w:val="18"/>
          <w:szCs w:val="18"/>
        </w:rPr>
        <w:t>适用□不适用</w:t>
      </w:r>
    </w:p>
    <w:p w14:paraId="715E27A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5"/>
        <w:gridCol w:w="1205"/>
        <w:gridCol w:w="1205"/>
        <w:gridCol w:w="1205"/>
        <w:gridCol w:w="1205"/>
        <w:gridCol w:w="1205"/>
        <w:gridCol w:w="1205"/>
        <w:gridCol w:w="1205"/>
      </w:tblGrid>
      <w:tr w14:paraId="381F3D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08EB339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会计科目</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DE0EC9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64399E2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本期新增补助金额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17689B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本期计入营业外收入金额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38D9247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本期转入其他收益金额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7848C18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本期其他变动</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2DA4F5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0837A8D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与资产/收益相关</w:t>
            </w:r>
          </w:p>
        </w:tc>
      </w:tr>
      <w:tr w14:paraId="159061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0A973F7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福建省发展改革委福建省经贸委关于福建广生堂药业有限公司申核苷类抗乙肝病毒系列产品的产业化项目2009年重点产业振兴和技术改造专项资金申请报告的批复</w:t>
            </w:r>
          </w:p>
        </w:tc>
        <w:tc>
          <w:tcPr>
            <w:tcW w:w="1205" w:type="dxa"/>
            <w:tcBorders>
              <w:top w:val="single" w:color="auto" w:sz="2" w:space="0"/>
              <w:left w:val="single" w:color="auto" w:sz="2" w:space="0"/>
              <w:bottom w:val="single" w:color="auto" w:sz="2" w:space="0"/>
              <w:right w:val="single" w:color="auto" w:sz="2" w:space="0"/>
            </w:tcBorders>
            <w:vAlign w:val="center"/>
          </w:tcPr>
          <w:p w14:paraId="6A47A0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2,284,384.86</w:t>
            </w:r>
          </w:p>
        </w:tc>
        <w:tc>
          <w:tcPr>
            <w:tcW w:w="1205" w:type="dxa"/>
            <w:tcBorders>
              <w:top w:val="single" w:color="auto" w:sz="2" w:space="0"/>
              <w:left w:val="single" w:color="auto" w:sz="2" w:space="0"/>
              <w:bottom w:val="single" w:color="auto" w:sz="2" w:space="0"/>
              <w:right w:val="single" w:color="auto" w:sz="2" w:space="0"/>
            </w:tcBorders>
            <w:vAlign w:val="center"/>
          </w:tcPr>
          <w:p w14:paraId="5141229A">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B2AB5D1">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8E23A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64,060.00</w:t>
            </w:r>
          </w:p>
        </w:tc>
        <w:tc>
          <w:tcPr>
            <w:tcW w:w="1205" w:type="dxa"/>
            <w:tcBorders>
              <w:top w:val="single" w:color="auto" w:sz="2" w:space="0"/>
              <w:left w:val="single" w:color="auto" w:sz="2" w:space="0"/>
              <w:bottom w:val="single" w:color="auto" w:sz="2" w:space="0"/>
              <w:right w:val="single" w:color="auto" w:sz="2" w:space="0"/>
            </w:tcBorders>
            <w:vAlign w:val="center"/>
          </w:tcPr>
          <w:p w14:paraId="72578475">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28B313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2,220,324.86</w:t>
            </w:r>
          </w:p>
        </w:tc>
        <w:tc>
          <w:tcPr>
            <w:tcW w:w="1205" w:type="dxa"/>
            <w:tcBorders>
              <w:top w:val="single" w:color="auto" w:sz="2" w:space="0"/>
              <w:left w:val="single" w:color="auto" w:sz="2" w:space="0"/>
              <w:bottom w:val="single" w:color="auto" w:sz="2" w:space="0"/>
              <w:right w:val="single" w:color="auto" w:sz="2" w:space="0"/>
            </w:tcBorders>
            <w:vAlign w:val="center"/>
          </w:tcPr>
          <w:p w14:paraId="36BFB33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3FE725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2B06FFE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福建省财政厅关于下达2011年科技型中小企业技术创新基金第一批预算（拨款）的通知</w:t>
            </w:r>
          </w:p>
        </w:tc>
        <w:tc>
          <w:tcPr>
            <w:tcW w:w="1205" w:type="dxa"/>
            <w:tcBorders>
              <w:top w:val="single" w:color="auto" w:sz="2" w:space="0"/>
              <w:left w:val="single" w:color="auto" w:sz="2" w:space="0"/>
              <w:bottom w:val="single" w:color="auto" w:sz="2" w:space="0"/>
              <w:right w:val="single" w:color="auto" w:sz="2" w:space="0"/>
            </w:tcBorders>
            <w:vAlign w:val="center"/>
          </w:tcPr>
          <w:p w14:paraId="2308E70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108,213.95</w:t>
            </w:r>
          </w:p>
        </w:tc>
        <w:tc>
          <w:tcPr>
            <w:tcW w:w="1205" w:type="dxa"/>
            <w:tcBorders>
              <w:top w:val="single" w:color="auto" w:sz="2" w:space="0"/>
              <w:left w:val="single" w:color="auto" w:sz="2" w:space="0"/>
              <w:bottom w:val="single" w:color="auto" w:sz="2" w:space="0"/>
              <w:right w:val="single" w:color="auto" w:sz="2" w:space="0"/>
            </w:tcBorders>
            <w:vAlign w:val="center"/>
          </w:tcPr>
          <w:p w14:paraId="628C8D39">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D1D9340">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46F9B2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8,048.96</w:t>
            </w:r>
          </w:p>
        </w:tc>
        <w:tc>
          <w:tcPr>
            <w:tcW w:w="1205" w:type="dxa"/>
            <w:tcBorders>
              <w:top w:val="single" w:color="auto" w:sz="2" w:space="0"/>
              <w:left w:val="single" w:color="auto" w:sz="2" w:space="0"/>
              <w:bottom w:val="single" w:color="auto" w:sz="2" w:space="0"/>
              <w:right w:val="single" w:color="auto" w:sz="2" w:space="0"/>
            </w:tcBorders>
            <w:vAlign w:val="center"/>
          </w:tcPr>
          <w:p w14:paraId="6FAEB890">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3BD08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100,164.99</w:t>
            </w:r>
          </w:p>
        </w:tc>
        <w:tc>
          <w:tcPr>
            <w:tcW w:w="1205" w:type="dxa"/>
            <w:tcBorders>
              <w:top w:val="single" w:color="auto" w:sz="2" w:space="0"/>
              <w:left w:val="single" w:color="auto" w:sz="2" w:space="0"/>
              <w:bottom w:val="single" w:color="auto" w:sz="2" w:space="0"/>
              <w:right w:val="single" w:color="auto" w:sz="2" w:space="0"/>
            </w:tcBorders>
            <w:vAlign w:val="center"/>
          </w:tcPr>
          <w:p w14:paraId="01F53EC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248417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3F742ED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关于下达2014年第一批省级企业技术创新项目资金的通知</w:t>
            </w:r>
          </w:p>
        </w:tc>
        <w:tc>
          <w:tcPr>
            <w:tcW w:w="1205" w:type="dxa"/>
            <w:tcBorders>
              <w:top w:val="single" w:color="auto" w:sz="2" w:space="0"/>
              <w:left w:val="single" w:color="auto" w:sz="2" w:space="0"/>
              <w:bottom w:val="single" w:color="auto" w:sz="2" w:space="0"/>
              <w:right w:val="single" w:color="auto" w:sz="2" w:space="0"/>
            </w:tcBorders>
            <w:vAlign w:val="center"/>
          </w:tcPr>
          <w:p w14:paraId="1ADD98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6,370.05</w:t>
            </w:r>
          </w:p>
        </w:tc>
        <w:tc>
          <w:tcPr>
            <w:tcW w:w="1205" w:type="dxa"/>
            <w:tcBorders>
              <w:top w:val="single" w:color="auto" w:sz="2" w:space="0"/>
              <w:left w:val="single" w:color="auto" w:sz="2" w:space="0"/>
              <w:bottom w:val="single" w:color="auto" w:sz="2" w:space="0"/>
              <w:right w:val="single" w:color="auto" w:sz="2" w:space="0"/>
            </w:tcBorders>
            <w:vAlign w:val="center"/>
          </w:tcPr>
          <w:p w14:paraId="002E04DE">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6198F4D">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5E2016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5,460.00</w:t>
            </w:r>
          </w:p>
        </w:tc>
        <w:tc>
          <w:tcPr>
            <w:tcW w:w="1205" w:type="dxa"/>
            <w:tcBorders>
              <w:top w:val="single" w:color="auto" w:sz="2" w:space="0"/>
              <w:left w:val="single" w:color="auto" w:sz="2" w:space="0"/>
              <w:bottom w:val="single" w:color="auto" w:sz="2" w:space="0"/>
              <w:right w:val="single" w:color="auto" w:sz="2" w:space="0"/>
            </w:tcBorders>
            <w:vAlign w:val="center"/>
          </w:tcPr>
          <w:p w14:paraId="474DEF49">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500B8B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910.05</w:t>
            </w:r>
          </w:p>
        </w:tc>
        <w:tc>
          <w:tcPr>
            <w:tcW w:w="1205" w:type="dxa"/>
            <w:tcBorders>
              <w:top w:val="single" w:color="auto" w:sz="2" w:space="0"/>
              <w:left w:val="single" w:color="auto" w:sz="2" w:space="0"/>
              <w:bottom w:val="single" w:color="auto" w:sz="2" w:space="0"/>
              <w:right w:val="single" w:color="auto" w:sz="2" w:space="0"/>
            </w:tcBorders>
            <w:vAlign w:val="center"/>
          </w:tcPr>
          <w:p w14:paraId="3500F82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58C9CF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0453FE7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2015年市级企业技术改造专项、医药产业专项资金申报</w:t>
            </w:r>
          </w:p>
        </w:tc>
        <w:tc>
          <w:tcPr>
            <w:tcW w:w="1205" w:type="dxa"/>
            <w:tcBorders>
              <w:top w:val="single" w:color="auto" w:sz="2" w:space="0"/>
              <w:left w:val="single" w:color="auto" w:sz="2" w:space="0"/>
              <w:bottom w:val="single" w:color="auto" w:sz="2" w:space="0"/>
              <w:right w:val="single" w:color="auto" w:sz="2" w:space="0"/>
            </w:tcBorders>
            <w:vAlign w:val="center"/>
          </w:tcPr>
          <w:p w14:paraId="04E1A8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693.79</w:t>
            </w:r>
          </w:p>
        </w:tc>
        <w:tc>
          <w:tcPr>
            <w:tcW w:w="1205" w:type="dxa"/>
            <w:tcBorders>
              <w:top w:val="single" w:color="auto" w:sz="2" w:space="0"/>
              <w:left w:val="single" w:color="auto" w:sz="2" w:space="0"/>
              <w:bottom w:val="single" w:color="auto" w:sz="2" w:space="0"/>
              <w:right w:val="single" w:color="auto" w:sz="2" w:space="0"/>
            </w:tcBorders>
            <w:vAlign w:val="center"/>
          </w:tcPr>
          <w:p w14:paraId="07D31993">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8D2E255">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EE352C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639.17</w:t>
            </w:r>
          </w:p>
        </w:tc>
        <w:tc>
          <w:tcPr>
            <w:tcW w:w="1205" w:type="dxa"/>
            <w:tcBorders>
              <w:top w:val="single" w:color="auto" w:sz="2" w:space="0"/>
              <w:left w:val="single" w:color="auto" w:sz="2" w:space="0"/>
              <w:bottom w:val="single" w:color="auto" w:sz="2" w:space="0"/>
              <w:right w:val="single" w:color="auto" w:sz="2" w:space="0"/>
            </w:tcBorders>
            <w:vAlign w:val="center"/>
          </w:tcPr>
          <w:p w14:paraId="36B16BD3">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F0F691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54.62</w:t>
            </w:r>
          </w:p>
        </w:tc>
        <w:tc>
          <w:tcPr>
            <w:tcW w:w="1205" w:type="dxa"/>
            <w:tcBorders>
              <w:top w:val="single" w:color="auto" w:sz="2" w:space="0"/>
              <w:left w:val="single" w:color="auto" w:sz="2" w:space="0"/>
              <w:bottom w:val="single" w:color="auto" w:sz="2" w:space="0"/>
              <w:right w:val="single" w:color="auto" w:sz="2" w:space="0"/>
            </w:tcBorders>
            <w:vAlign w:val="center"/>
          </w:tcPr>
          <w:p w14:paraId="32AA1B7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207BFE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41001B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2016年省级企业技术创新项目专项资金申请报告</w:t>
            </w:r>
          </w:p>
        </w:tc>
        <w:tc>
          <w:tcPr>
            <w:tcW w:w="1205" w:type="dxa"/>
            <w:tcBorders>
              <w:top w:val="single" w:color="auto" w:sz="2" w:space="0"/>
              <w:left w:val="single" w:color="auto" w:sz="2" w:space="0"/>
              <w:bottom w:val="single" w:color="auto" w:sz="2" w:space="0"/>
              <w:right w:val="single" w:color="auto" w:sz="2" w:space="0"/>
            </w:tcBorders>
            <w:vAlign w:val="center"/>
          </w:tcPr>
          <w:p w14:paraId="3A6D43E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75,631.23</w:t>
            </w:r>
          </w:p>
        </w:tc>
        <w:tc>
          <w:tcPr>
            <w:tcW w:w="1205" w:type="dxa"/>
            <w:tcBorders>
              <w:top w:val="single" w:color="auto" w:sz="2" w:space="0"/>
              <w:left w:val="single" w:color="auto" w:sz="2" w:space="0"/>
              <w:bottom w:val="single" w:color="auto" w:sz="2" w:space="0"/>
              <w:right w:val="single" w:color="auto" w:sz="2" w:space="0"/>
            </w:tcBorders>
            <w:vAlign w:val="center"/>
          </w:tcPr>
          <w:p w14:paraId="46903F50">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5E2B1BA">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1CD37D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36,295.00</w:t>
            </w:r>
          </w:p>
        </w:tc>
        <w:tc>
          <w:tcPr>
            <w:tcW w:w="1205" w:type="dxa"/>
            <w:tcBorders>
              <w:top w:val="single" w:color="auto" w:sz="2" w:space="0"/>
              <w:left w:val="single" w:color="auto" w:sz="2" w:space="0"/>
              <w:bottom w:val="single" w:color="auto" w:sz="2" w:space="0"/>
              <w:right w:val="single" w:color="auto" w:sz="2" w:space="0"/>
            </w:tcBorders>
            <w:vAlign w:val="center"/>
          </w:tcPr>
          <w:p w14:paraId="3139A349">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36EC31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39,336.23</w:t>
            </w:r>
          </w:p>
        </w:tc>
        <w:tc>
          <w:tcPr>
            <w:tcW w:w="1205" w:type="dxa"/>
            <w:tcBorders>
              <w:top w:val="single" w:color="auto" w:sz="2" w:space="0"/>
              <w:left w:val="single" w:color="auto" w:sz="2" w:space="0"/>
              <w:bottom w:val="single" w:color="auto" w:sz="2" w:space="0"/>
              <w:right w:val="single" w:color="auto" w:sz="2" w:space="0"/>
            </w:tcBorders>
            <w:vAlign w:val="center"/>
          </w:tcPr>
          <w:p w14:paraId="6532806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07F6AC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00A0C4B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关于提前下达2017年省区域发展等科技项目计划和经费（新上市级第一批）的通知</w:t>
            </w:r>
          </w:p>
        </w:tc>
        <w:tc>
          <w:tcPr>
            <w:tcW w:w="1205" w:type="dxa"/>
            <w:tcBorders>
              <w:top w:val="single" w:color="auto" w:sz="2" w:space="0"/>
              <w:left w:val="single" w:color="auto" w:sz="2" w:space="0"/>
              <w:bottom w:val="single" w:color="auto" w:sz="2" w:space="0"/>
              <w:right w:val="single" w:color="auto" w:sz="2" w:space="0"/>
            </w:tcBorders>
            <w:vAlign w:val="center"/>
          </w:tcPr>
          <w:p w14:paraId="2EEB00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128,858.09</w:t>
            </w:r>
          </w:p>
        </w:tc>
        <w:tc>
          <w:tcPr>
            <w:tcW w:w="1205" w:type="dxa"/>
            <w:tcBorders>
              <w:top w:val="single" w:color="auto" w:sz="2" w:space="0"/>
              <w:left w:val="single" w:color="auto" w:sz="2" w:space="0"/>
              <w:bottom w:val="single" w:color="auto" w:sz="2" w:space="0"/>
              <w:right w:val="single" w:color="auto" w:sz="2" w:space="0"/>
            </w:tcBorders>
            <w:vAlign w:val="center"/>
          </w:tcPr>
          <w:p w14:paraId="4B7A02EA">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F9B36F5">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FFB928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16,450.02</w:t>
            </w:r>
          </w:p>
        </w:tc>
        <w:tc>
          <w:tcPr>
            <w:tcW w:w="1205" w:type="dxa"/>
            <w:tcBorders>
              <w:top w:val="single" w:color="auto" w:sz="2" w:space="0"/>
              <w:left w:val="single" w:color="auto" w:sz="2" w:space="0"/>
              <w:bottom w:val="single" w:color="auto" w:sz="2" w:space="0"/>
              <w:right w:val="single" w:color="auto" w:sz="2" w:space="0"/>
            </w:tcBorders>
            <w:vAlign w:val="center"/>
          </w:tcPr>
          <w:p w14:paraId="3068A0C6">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68E667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112,408.07</w:t>
            </w:r>
          </w:p>
        </w:tc>
        <w:tc>
          <w:tcPr>
            <w:tcW w:w="1205" w:type="dxa"/>
            <w:tcBorders>
              <w:top w:val="single" w:color="auto" w:sz="2" w:space="0"/>
              <w:left w:val="single" w:color="auto" w:sz="2" w:space="0"/>
              <w:bottom w:val="single" w:color="auto" w:sz="2" w:space="0"/>
              <w:right w:val="single" w:color="auto" w:sz="2" w:space="0"/>
            </w:tcBorders>
            <w:vAlign w:val="center"/>
          </w:tcPr>
          <w:p w14:paraId="2D6842E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2035D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772E747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关于转下达2017年第一批省级预算内投资计划（6.18项目成果转化扶持资金）的通知</w:t>
            </w:r>
          </w:p>
        </w:tc>
        <w:tc>
          <w:tcPr>
            <w:tcW w:w="1205" w:type="dxa"/>
            <w:tcBorders>
              <w:top w:val="single" w:color="auto" w:sz="2" w:space="0"/>
              <w:left w:val="single" w:color="auto" w:sz="2" w:space="0"/>
              <w:bottom w:val="single" w:color="auto" w:sz="2" w:space="0"/>
              <w:right w:val="single" w:color="auto" w:sz="2" w:space="0"/>
            </w:tcBorders>
            <w:vAlign w:val="center"/>
          </w:tcPr>
          <w:p w14:paraId="4A0275F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216,178.30</w:t>
            </w:r>
          </w:p>
        </w:tc>
        <w:tc>
          <w:tcPr>
            <w:tcW w:w="1205" w:type="dxa"/>
            <w:tcBorders>
              <w:top w:val="single" w:color="auto" w:sz="2" w:space="0"/>
              <w:left w:val="single" w:color="auto" w:sz="2" w:space="0"/>
              <w:bottom w:val="single" w:color="auto" w:sz="2" w:space="0"/>
              <w:right w:val="single" w:color="auto" w:sz="2" w:space="0"/>
            </w:tcBorders>
            <w:vAlign w:val="center"/>
          </w:tcPr>
          <w:p w14:paraId="3EAA352C">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1311028">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45C682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w:t>
            </w:r>
          </w:p>
        </w:tc>
        <w:tc>
          <w:tcPr>
            <w:tcW w:w="1205" w:type="dxa"/>
            <w:tcBorders>
              <w:top w:val="single" w:color="auto" w:sz="2" w:space="0"/>
              <w:left w:val="single" w:color="auto" w:sz="2" w:space="0"/>
              <w:bottom w:val="single" w:color="auto" w:sz="2" w:space="0"/>
              <w:right w:val="single" w:color="auto" w:sz="2" w:space="0"/>
            </w:tcBorders>
            <w:vAlign w:val="center"/>
          </w:tcPr>
          <w:p w14:paraId="3F9758BE">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0F9D0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166,178.30</w:t>
            </w:r>
          </w:p>
        </w:tc>
        <w:tc>
          <w:tcPr>
            <w:tcW w:w="1205" w:type="dxa"/>
            <w:tcBorders>
              <w:top w:val="single" w:color="auto" w:sz="2" w:space="0"/>
              <w:left w:val="single" w:color="auto" w:sz="2" w:space="0"/>
              <w:bottom w:val="single" w:color="auto" w:sz="2" w:space="0"/>
              <w:right w:val="single" w:color="auto" w:sz="2" w:space="0"/>
            </w:tcBorders>
            <w:vAlign w:val="center"/>
          </w:tcPr>
          <w:p w14:paraId="37BC5E7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43711A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F3C99C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关于印发2017年省级专项转移支付资金申报指南的通知</w:t>
            </w:r>
          </w:p>
        </w:tc>
        <w:tc>
          <w:tcPr>
            <w:tcW w:w="1205" w:type="dxa"/>
            <w:tcBorders>
              <w:top w:val="single" w:color="auto" w:sz="2" w:space="0"/>
              <w:left w:val="single" w:color="auto" w:sz="2" w:space="0"/>
              <w:bottom w:val="single" w:color="auto" w:sz="2" w:space="0"/>
              <w:right w:val="single" w:color="auto" w:sz="2" w:space="0"/>
            </w:tcBorders>
            <w:vAlign w:val="center"/>
          </w:tcPr>
          <w:p w14:paraId="7C8B100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103,766.65</w:t>
            </w:r>
          </w:p>
        </w:tc>
        <w:tc>
          <w:tcPr>
            <w:tcW w:w="1205" w:type="dxa"/>
            <w:tcBorders>
              <w:top w:val="single" w:color="auto" w:sz="2" w:space="0"/>
              <w:left w:val="single" w:color="auto" w:sz="2" w:space="0"/>
              <w:bottom w:val="single" w:color="auto" w:sz="2" w:space="0"/>
              <w:right w:val="single" w:color="auto" w:sz="2" w:space="0"/>
            </w:tcBorders>
            <w:vAlign w:val="center"/>
          </w:tcPr>
          <w:p w14:paraId="2F0081F4">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A5968CB">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4DFFC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25,000.00</w:t>
            </w:r>
          </w:p>
        </w:tc>
        <w:tc>
          <w:tcPr>
            <w:tcW w:w="1205" w:type="dxa"/>
            <w:tcBorders>
              <w:top w:val="single" w:color="auto" w:sz="2" w:space="0"/>
              <w:left w:val="single" w:color="auto" w:sz="2" w:space="0"/>
              <w:bottom w:val="single" w:color="auto" w:sz="2" w:space="0"/>
              <w:right w:val="single" w:color="auto" w:sz="2" w:space="0"/>
            </w:tcBorders>
            <w:vAlign w:val="center"/>
          </w:tcPr>
          <w:p w14:paraId="19E8A83C">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762FCC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78,766.65</w:t>
            </w:r>
          </w:p>
        </w:tc>
        <w:tc>
          <w:tcPr>
            <w:tcW w:w="1205" w:type="dxa"/>
            <w:tcBorders>
              <w:top w:val="single" w:color="auto" w:sz="2" w:space="0"/>
              <w:left w:val="single" w:color="auto" w:sz="2" w:space="0"/>
              <w:bottom w:val="single" w:color="auto" w:sz="2" w:space="0"/>
              <w:right w:val="single" w:color="auto" w:sz="2" w:space="0"/>
            </w:tcBorders>
            <w:vAlign w:val="center"/>
          </w:tcPr>
          <w:p w14:paraId="3C15B31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476BED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A00939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技术改造项目补助款</w:t>
            </w:r>
          </w:p>
        </w:tc>
        <w:tc>
          <w:tcPr>
            <w:tcW w:w="1205" w:type="dxa"/>
            <w:tcBorders>
              <w:top w:val="single" w:color="auto" w:sz="2" w:space="0"/>
              <w:left w:val="single" w:color="auto" w:sz="2" w:space="0"/>
              <w:bottom w:val="single" w:color="auto" w:sz="2" w:space="0"/>
              <w:right w:val="single" w:color="auto" w:sz="2" w:space="0"/>
            </w:tcBorders>
            <w:vAlign w:val="center"/>
          </w:tcPr>
          <w:p w14:paraId="14F346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35,754.54</w:t>
            </w:r>
          </w:p>
        </w:tc>
        <w:tc>
          <w:tcPr>
            <w:tcW w:w="1205" w:type="dxa"/>
            <w:tcBorders>
              <w:top w:val="single" w:color="auto" w:sz="2" w:space="0"/>
              <w:left w:val="single" w:color="auto" w:sz="2" w:space="0"/>
              <w:bottom w:val="single" w:color="auto" w:sz="2" w:space="0"/>
              <w:right w:val="single" w:color="auto" w:sz="2" w:space="0"/>
            </w:tcBorders>
            <w:vAlign w:val="center"/>
          </w:tcPr>
          <w:p w14:paraId="43735146">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061BBF0">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3C331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5,791.32</w:t>
            </w:r>
          </w:p>
        </w:tc>
        <w:tc>
          <w:tcPr>
            <w:tcW w:w="1205" w:type="dxa"/>
            <w:tcBorders>
              <w:top w:val="single" w:color="auto" w:sz="2" w:space="0"/>
              <w:left w:val="single" w:color="auto" w:sz="2" w:space="0"/>
              <w:bottom w:val="single" w:color="auto" w:sz="2" w:space="0"/>
              <w:right w:val="single" w:color="auto" w:sz="2" w:space="0"/>
            </w:tcBorders>
            <w:vAlign w:val="center"/>
          </w:tcPr>
          <w:p w14:paraId="02103A93">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B8A08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29,963.22</w:t>
            </w:r>
          </w:p>
        </w:tc>
        <w:tc>
          <w:tcPr>
            <w:tcW w:w="1205" w:type="dxa"/>
            <w:tcBorders>
              <w:top w:val="single" w:color="auto" w:sz="2" w:space="0"/>
              <w:left w:val="single" w:color="auto" w:sz="2" w:space="0"/>
              <w:bottom w:val="single" w:color="auto" w:sz="2" w:space="0"/>
              <w:right w:val="single" w:color="auto" w:sz="2" w:space="0"/>
            </w:tcBorders>
            <w:vAlign w:val="center"/>
          </w:tcPr>
          <w:p w14:paraId="26462D1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0B41E5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07D60C8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非酒精性脂肪性肝炎及器官纤维化疾病创新药物的临床前研究与开发</w:t>
            </w:r>
          </w:p>
        </w:tc>
        <w:tc>
          <w:tcPr>
            <w:tcW w:w="1205" w:type="dxa"/>
            <w:tcBorders>
              <w:top w:val="single" w:color="auto" w:sz="2" w:space="0"/>
              <w:left w:val="single" w:color="auto" w:sz="2" w:space="0"/>
              <w:bottom w:val="single" w:color="auto" w:sz="2" w:space="0"/>
              <w:right w:val="single" w:color="auto" w:sz="2" w:space="0"/>
            </w:tcBorders>
            <w:vAlign w:val="center"/>
          </w:tcPr>
          <w:p w14:paraId="66518B3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52,723.19</w:t>
            </w:r>
          </w:p>
        </w:tc>
        <w:tc>
          <w:tcPr>
            <w:tcW w:w="1205" w:type="dxa"/>
            <w:tcBorders>
              <w:top w:val="single" w:color="auto" w:sz="2" w:space="0"/>
              <w:left w:val="single" w:color="auto" w:sz="2" w:space="0"/>
              <w:bottom w:val="single" w:color="auto" w:sz="2" w:space="0"/>
              <w:right w:val="single" w:color="auto" w:sz="2" w:space="0"/>
            </w:tcBorders>
            <w:vAlign w:val="center"/>
          </w:tcPr>
          <w:p w14:paraId="5E0BB9C5">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74F3C86">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DC7512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4,792.98</w:t>
            </w:r>
          </w:p>
        </w:tc>
        <w:tc>
          <w:tcPr>
            <w:tcW w:w="1205" w:type="dxa"/>
            <w:tcBorders>
              <w:top w:val="single" w:color="auto" w:sz="2" w:space="0"/>
              <w:left w:val="single" w:color="auto" w:sz="2" w:space="0"/>
              <w:bottom w:val="single" w:color="auto" w:sz="2" w:space="0"/>
              <w:right w:val="single" w:color="auto" w:sz="2" w:space="0"/>
            </w:tcBorders>
            <w:vAlign w:val="center"/>
          </w:tcPr>
          <w:p w14:paraId="72B13D5D">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EC6F3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47,930.21</w:t>
            </w:r>
          </w:p>
        </w:tc>
        <w:tc>
          <w:tcPr>
            <w:tcW w:w="1205" w:type="dxa"/>
            <w:tcBorders>
              <w:top w:val="single" w:color="auto" w:sz="2" w:space="0"/>
              <w:left w:val="single" w:color="auto" w:sz="2" w:space="0"/>
              <w:bottom w:val="single" w:color="auto" w:sz="2" w:space="0"/>
              <w:right w:val="single" w:color="auto" w:sz="2" w:space="0"/>
            </w:tcBorders>
            <w:vAlign w:val="center"/>
          </w:tcPr>
          <w:p w14:paraId="57527AD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61EABA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527ABA6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国家企业技术中心省级奖励金</w:t>
            </w:r>
          </w:p>
        </w:tc>
        <w:tc>
          <w:tcPr>
            <w:tcW w:w="1205" w:type="dxa"/>
            <w:tcBorders>
              <w:top w:val="single" w:color="auto" w:sz="2" w:space="0"/>
              <w:left w:val="single" w:color="auto" w:sz="2" w:space="0"/>
              <w:bottom w:val="single" w:color="auto" w:sz="2" w:space="0"/>
              <w:right w:val="single" w:color="auto" w:sz="2" w:space="0"/>
            </w:tcBorders>
            <w:vAlign w:val="center"/>
          </w:tcPr>
          <w:p w14:paraId="1B3D6CA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3,490,523.74</w:t>
            </w:r>
          </w:p>
        </w:tc>
        <w:tc>
          <w:tcPr>
            <w:tcW w:w="1205" w:type="dxa"/>
            <w:tcBorders>
              <w:top w:val="single" w:color="auto" w:sz="2" w:space="0"/>
              <w:left w:val="single" w:color="auto" w:sz="2" w:space="0"/>
              <w:bottom w:val="single" w:color="auto" w:sz="2" w:space="0"/>
              <w:right w:val="single" w:color="auto" w:sz="2" w:space="0"/>
            </w:tcBorders>
            <w:vAlign w:val="center"/>
          </w:tcPr>
          <w:p w14:paraId="2FA7067E">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8B06C27">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586146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237,499.98</w:t>
            </w:r>
          </w:p>
        </w:tc>
        <w:tc>
          <w:tcPr>
            <w:tcW w:w="1205" w:type="dxa"/>
            <w:tcBorders>
              <w:top w:val="single" w:color="auto" w:sz="2" w:space="0"/>
              <w:left w:val="single" w:color="auto" w:sz="2" w:space="0"/>
              <w:bottom w:val="single" w:color="auto" w:sz="2" w:space="0"/>
              <w:right w:val="single" w:color="auto" w:sz="2" w:space="0"/>
            </w:tcBorders>
            <w:vAlign w:val="center"/>
          </w:tcPr>
          <w:p w14:paraId="1060A034">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DE773E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3,253,023.76</w:t>
            </w:r>
          </w:p>
        </w:tc>
        <w:tc>
          <w:tcPr>
            <w:tcW w:w="1205" w:type="dxa"/>
            <w:tcBorders>
              <w:top w:val="single" w:color="auto" w:sz="2" w:space="0"/>
              <w:left w:val="single" w:color="auto" w:sz="2" w:space="0"/>
              <w:bottom w:val="single" w:color="auto" w:sz="2" w:space="0"/>
              <w:right w:val="single" w:color="auto" w:sz="2" w:space="0"/>
            </w:tcBorders>
            <w:vAlign w:val="center"/>
          </w:tcPr>
          <w:p w14:paraId="3BAF79D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679DC3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FE3F10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核苷类抗乙肝病毒药物系列产品生产线升级改造项目补助</w:t>
            </w:r>
          </w:p>
        </w:tc>
        <w:tc>
          <w:tcPr>
            <w:tcW w:w="1205" w:type="dxa"/>
            <w:tcBorders>
              <w:top w:val="single" w:color="auto" w:sz="2" w:space="0"/>
              <w:left w:val="single" w:color="auto" w:sz="2" w:space="0"/>
              <w:bottom w:val="single" w:color="auto" w:sz="2" w:space="0"/>
              <w:right w:val="single" w:color="auto" w:sz="2" w:space="0"/>
            </w:tcBorders>
            <w:vAlign w:val="center"/>
          </w:tcPr>
          <w:p w14:paraId="59375E6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396,197.14</w:t>
            </w:r>
          </w:p>
        </w:tc>
        <w:tc>
          <w:tcPr>
            <w:tcW w:w="1205" w:type="dxa"/>
            <w:tcBorders>
              <w:top w:val="single" w:color="auto" w:sz="2" w:space="0"/>
              <w:left w:val="single" w:color="auto" w:sz="2" w:space="0"/>
              <w:bottom w:val="single" w:color="auto" w:sz="2" w:space="0"/>
              <w:right w:val="single" w:color="auto" w:sz="2" w:space="0"/>
            </w:tcBorders>
            <w:vAlign w:val="center"/>
          </w:tcPr>
          <w:p w14:paraId="12B04DDB">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C154889">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A9B1C6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29,823.05</w:t>
            </w:r>
          </w:p>
        </w:tc>
        <w:tc>
          <w:tcPr>
            <w:tcW w:w="1205" w:type="dxa"/>
            <w:tcBorders>
              <w:top w:val="single" w:color="auto" w:sz="2" w:space="0"/>
              <w:left w:val="single" w:color="auto" w:sz="2" w:space="0"/>
              <w:bottom w:val="single" w:color="auto" w:sz="2" w:space="0"/>
              <w:right w:val="single" w:color="auto" w:sz="2" w:space="0"/>
            </w:tcBorders>
            <w:vAlign w:val="center"/>
          </w:tcPr>
          <w:p w14:paraId="55484C60">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4D88C8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366,374.09</w:t>
            </w:r>
          </w:p>
        </w:tc>
        <w:tc>
          <w:tcPr>
            <w:tcW w:w="1205" w:type="dxa"/>
            <w:tcBorders>
              <w:top w:val="single" w:color="auto" w:sz="2" w:space="0"/>
              <w:left w:val="single" w:color="auto" w:sz="2" w:space="0"/>
              <w:bottom w:val="single" w:color="auto" w:sz="2" w:space="0"/>
              <w:right w:val="single" w:color="auto" w:sz="2" w:space="0"/>
            </w:tcBorders>
            <w:vAlign w:val="center"/>
          </w:tcPr>
          <w:p w14:paraId="634519C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3133AF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41E082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中央引导地方科技发展资金</w:t>
            </w:r>
          </w:p>
        </w:tc>
        <w:tc>
          <w:tcPr>
            <w:tcW w:w="1205" w:type="dxa"/>
            <w:tcBorders>
              <w:top w:val="single" w:color="auto" w:sz="2" w:space="0"/>
              <w:left w:val="single" w:color="auto" w:sz="2" w:space="0"/>
              <w:bottom w:val="single" w:color="auto" w:sz="2" w:space="0"/>
              <w:right w:val="single" w:color="auto" w:sz="2" w:space="0"/>
            </w:tcBorders>
            <w:vAlign w:val="center"/>
          </w:tcPr>
          <w:p w14:paraId="2BC0176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1,000,000.00</w:t>
            </w:r>
          </w:p>
        </w:tc>
        <w:tc>
          <w:tcPr>
            <w:tcW w:w="1205" w:type="dxa"/>
            <w:tcBorders>
              <w:top w:val="single" w:color="auto" w:sz="2" w:space="0"/>
              <w:left w:val="single" w:color="auto" w:sz="2" w:space="0"/>
              <w:bottom w:val="single" w:color="auto" w:sz="2" w:space="0"/>
              <w:right w:val="single" w:color="auto" w:sz="2" w:space="0"/>
            </w:tcBorders>
            <w:vAlign w:val="center"/>
          </w:tcPr>
          <w:p w14:paraId="0E4B78F7">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AEA2DB7">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0A7EA92">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330D91D">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FEEEE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1,000,000.00</w:t>
            </w:r>
          </w:p>
        </w:tc>
        <w:tc>
          <w:tcPr>
            <w:tcW w:w="1205" w:type="dxa"/>
            <w:tcBorders>
              <w:top w:val="single" w:color="auto" w:sz="2" w:space="0"/>
              <w:left w:val="single" w:color="auto" w:sz="2" w:space="0"/>
              <w:bottom w:val="single" w:color="auto" w:sz="2" w:space="0"/>
              <w:right w:val="single" w:color="auto" w:sz="2" w:space="0"/>
            </w:tcBorders>
            <w:vAlign w:val="center"/>
          </w:tcPr>
          <w:p w14:paraId="2902337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00D4E9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0A0F4E0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2022年省级企业技术改造项目设备投资补助</w:t>
            </w:r>
          </w:p>
        </w:tc>
        <w:tc>
          <w:tcPr>
            <w:tcW w:w="1205" w:type="dxa"/>
            <w:tcBorders>
              <w:top w:val="single" w:color="auto" w:sz="2" w:space="0"/>
              <w:left w:val="single" w:color="auto" w:sz="2" w:space="0"/>
              <w:bottom w:val="single" w:color="auto" w:sz="2" w:space="0"/>
              <w:right w:val="single" w:color="auto" w:sz="2" w:space="0"/>
            </w:tcBorders>
            <w:vAlign w:val="center"/>
          </w:tcPr>
          <w:p w14:paraId="28C3C89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737,732.10</w:t>
            </w:r>
          </w:p>
        </w:tc>
        <w:tc>
          <w:tcPr>
            <w:tcW w:w="1205" w:type="dxa"/>
            <w:tcBorders>
              <w:top w:val="single" w:color="auto" w:sz="2" w:space="0"/>
              <w:left w:val="single" w:color="auto" w:sz="2" w:space="0"/>
              <w:bottom w:val="single" w:color="auto" w:sz="2" w:space="0"/>
              <w:right w:val="single" w:color="auto" w:sz="2" w:space="0"/>
            </w:tcBorders>
            <w:vAlign w:val="center"/>
          </w:tcPr>
          <w:p w14:paraId="7C5CCA44">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0A7EED8">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8C49A8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43,890.57</w:t>
            </w:r>
          </w:p>
        </w:tc>
        <w:tc>
          <w:tcPr>
            <w:tcW w:w="1205" w:type="dxa"/>
            <w:tcBorders>
              <w:top w:val="single" w:color="auto" w:sz="2" w:space="0"/>
              <w:left w:val="single" w:color="auto" w:sz="2" w:space="0"/>
              <w:bottom w:val="single" w:color="auto" w:sz="2" w:space="0"/>
              <w:right w:val="single" w:color="auto" w:sz="2" w:space="0"/>
            </w:tcBorders>
            <w:vAlign w:val="center"/>
          </w:tcPr>
          <w:p w14:paraId="14ADF349">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6820DC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693,841.53</w:t>
            </w:r>
          </w:p>
        </w:tc>
        <w:tc>
          <w:tcPr>
            <w:tcW w:w="1205" w:type="dxa"/>
            <w:tcBorders>
              <w:top w:val="single" w:color="auto" w:sz="2" w:space="0"/>
              <w:left w:val="single" w:color="auto" w:sz="2" w:space="0"/>
              <w:bottom w:val="single" w:color="auto" w:sz="2" w:space="0"/>
              <w:right w:val="single" w:color="auto" w:sz="2" w:space="0"/>
            </w:tcBorders>
            <w:vAlign w:val="center"/>
          </w:tcPr>
          <w:p w14:paraId="3EEC699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3331F4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0F26B60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2020年首批省产业领军团队补助款</w:t>
            </w:r>
          </w:p>
        </w:tc>
        <w:tc>
          <w:tcPr>
            <w:tcW w:w="1205" w:type="dxa"/>
            <w:tcBorders>
              <w:top w:val="single" w:color="auto" w:sz="2" w:space="0"/>
              <w:left w:val="single" w:color="auto" w:sz="2" w:space="0"/>
              <w:bottom w:val="single" w:color="auto" w:sz="2" w:space="0"/>
              <w:right w:val="single" w:color="auto" w:sz="2" w:space="0"/>
            </w:tcBorders>
            <w:vAlign w:val="center"/>
          </w:tcPr>
          <w:p w14:paraId="716621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2,500,000.00</w:t>
            </w:r>
          </w:p>
        </w:tc>
        <w:tc>
          <w:tcPr>
            <w:tcW w:w="1205" w:type="dxa"/>
            <w:tcBorders>
              <w:top w:val="single" w:color="auto" w:sz="2" w:space="0"/>
              <w:left w:val="single" w:color="auto" w:sz="2" w:space="0"/>
              <w:bottom w:val="single" w:color="auto" w:sz="2" w:space="0"/>
              <w:right w:val="single" w:color="auto" w:sz="2" w:space="0"/>
            </w:tcBorders>
            <w:vAlign w:val="center"/>
          </w:tcPr>
          <w:p w14:paraId="794F5FC3">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487A78A">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5ECC3E1">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7F07801">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714A9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2,500,000.00</w:t>
            </w:r>
          </w:p>
        </w:tc>
        <w:tc>
          <w:tcPr>
            <w:tcW w:w="1205" w:type="dxa"/>
            <w:tcBorders>
              <w:top w:val="single" w:color="auto" w:sz="2" w:space="0"/>
              <w:left w:val="single" w:color="auto" w:sz="2" w:space="0"/>
              <w:bottom w:val="single" w:color="auto" w:sz="2" w:space="0"/>
              <w:right w:val="single" w:color="auto" w:sz="2" w:space="0"/>
            </w:tcBorders>
            <w:vAlign w:val="center"/>
          </w:tcPr>
          <w:p w14:paraId="5F3D06F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与收益相关</w:t>
            </w:r>
          </w:p>
        </w:tc>
      </w:tr>
      <w:tr w14:paraId="0FBD18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0FB0FD4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2023年省级企业技术改造项目设备投资补助</w:t>
            </w:r>
          </w:p>
        </w:tc>
        <w:tc>
          <w:tcPr>
            <w:tcW w:w="1205" w:type="dxa"/>
            <w:tcBorders>
              <w:top w:val="single" w:color="auto" w:sz="2" w:space="0"/>
              <w:left w:val="single" w:color="auto" w:sz="2" w:space="0"/>
              <w:bottom w:val="single" w:color="auto" w:sz="2" w:space="0"/>
              <w:right w:val="single" w:color="auto" w:sz="2" w:space="0"/>
            </w:tcBorders>
            <w:vAlign w:val="center"/>
          </w:tcPr>
          <w:p w14:paraId="67C66B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550,556.44</w:t>
            </w:r>
          </w:p>
        </w:tc>
        <w:tc>
          <w:tcPr>
            <w:tcW w:w="1205" w:type="dxa"/>
            <w:tcBorders>
              <w:top w:val="single" w:color="auto" w:sz="2" w:space="0"/>
              <w:left w:val="single" w:color="auto" w:sz="2" w:space="0"/>
              <w:bottom w:val="single" w:color="auto" w:sz="2" w:space="0"/>
              <w:right w:val="single" w:color="auto" w:sz="2" w:space="0"/>
            </w:tcBorders>
            <w:vAlign w:val="center"/>
          </w:tcPr>
          <w:p w14:paraId="25D7029A">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F2C4A32">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0D3D6A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36,147.24</w:t>
            </w:r>
          </w:p>
        </w:tc>
        <w:tc>
          <w:tcPr>
            <w:tcW w:w="1205" w:type="dxa"/>
            <w:tcBorders>
              <w:top w:val="single" w:color="auto" w:sz="2" w:space="0"/>
              <w:left w:val="single" w:color="auto" w:sz="2" w:space="0"/>
              <w:bottom w:val="single" w:color="auto" w:sz="2" w:space="0"/>
              <w:right w:val="single" w:color="auto" w:sz="2" w:space="0"/>
            </w:tcBorders>
            <w:vAlign w:val="center"/>
          </w:tcPr>
          <w:p w14:paraId="419C794B">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D0548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514,409.20</w:t>
            </w:r>
          </w:p>
        </w:tc>
        <w:tc>
          <w:tcPr>
            <w:tcW w:w="1205" w:type="dxa"/>
            <w:tcBorders>
              <w:top w:val="single" w:color="auto" w:sz="2" w:space="0"/>
              <w:left w:val="single" w:color="auto" w:sz="2" w:space="0"/>
              <w:bottom w:val="single" w:color="auto" w:sz="2" w:space="0"/>
              <w:right w:val="single" w:color="auto" w:sz="2" w:space="0"/>
            </w:tcBorders>
            <w:vAlign w:val="center"/>
          </w:tcPr>
          <w:p w14:paraId="496271A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7CB3AF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EC568B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2023年省技术创新重点攻关及产业化项目第一批补助资金</w:t>
            </w:r>
          </w:p>
        </w:tc>
        <w:tc>
          <w:tcPr>
            <w:tcW w:w="1205" w:type="dxa"/>
            <w:tcBorders>
              <w:top w:val="single" w:color="auto" w:sz="2" w:space="0"/>
              <w:left w:val="single" w:color="auto" w:sz="2" w:space="0"/>
              <w:bottom w:val="single" w:color="auto" w:sz="2" w:space="0"/>
              <w:right w:val="single" w:color="auto" w:sz="2" w:space="0"/>
            </w:tcBorders>
            <w:vAlign w:val="center"/>
          </w:tcPr>
          <w:p w14:paraId="63DDC1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205" w:type="dxa"/>
            <w:tcBorders>
              <w:top w:val="single" w:color="auto" w:sz="2" w:space="0"/>
              <w:left w:val="single" w:color="auto" w:sz="2" w:space="0"/>
              <w:bottom w:val="single" w:color="auto" w:sz="2" w:space="0"/>
              <w:right w:val="single" w:color="auto" w:sz="2" w:space="0"/>
            </w:tcBorders>
            <w:vAlign w:val="center"/>
          </w:tcPr>
          <w:p w14:paraId="2DB27A2E">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623C138">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A5EDA1D">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D005A86">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B8625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1205" w:type="dxa"/>
            <w:tcBorders>
              <w:top w:val="single" w:color="auto" w:sz="2" w:space="0"/>
              <w:left w:val="single" w:color="auto" w:sz="2" w:space="0"/>
              <w:bottom w:val="single" w:color="auto" w:sz="2" w:space="0"/>
              <w:right w:val="single" w:color="auto" w:sz="2" w:space="0"/>
            </w:tcBorders>
            <w:vAlign w:val="center"/>
          </w:tcPr>
          <w:p w14:paraId="08E5CB7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0AAE6A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3BAEC2C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2024年省级企业技改项目设备投资补助专项</w:t>
            </w:r>
          </w:p>
        </w:tc>
        <w:tc>
          <w:tcPr>
            <w:tcW w:w="1205" w:type="dxa"/>
            <w:tcBorders>
              <w:top w:val="single" w:color="auto" w:sz="2" w:space="0"/>
              <w:left w:val="single" w:color="auto" w:sz="2" w:space="0"/>
              <w:bottom w:val="single" w:color="auto" w:sz="2" w:space="0"/>
              <w:right w:val="single" w:color="auto" w:sz="2" w:space="0"/>
            </w:tcBorders>
            <w:vAlign w:val="center"/>
          </w:tcPr>
          <w:p w14:paraId="23807285">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A75A64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1,687,700.00</w:t>
            </w:r>
          </w:p>
        </w:tc>
        <w:tc>
          <w:tcPr>
            <w:tcW w:w="1205" w:type="dxa"/>
            <w:tcBorders>
              <w:top w:val="single" w:color="auto" w:sz="2" w:space="0"/>
              <w:left w:val="single" w:color="auto" w:sz="2" w:space="0"/>
              <w:bottom w:val="single" w:color="auto" w:sz="2" w:space="0"/>
              <w:right w:val="single" w:color="auto" w:sz="2" w:space="0"/>
            </w:tcBorders>
            <w:vAlign w:val="center"/>
          </w:tcPr>
          <w:p w14:paraId="0558DBCC">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555545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256,014.02</w:t>
            </w:r>
          </w:p>
        </w:tc>
        <w:tc>
          <w:tcPr>
            <w:tcW w:w="1205" w:type="dxa"/>
            <w:tcBorders>
              <w:top w:val="single" w:color="auto" w:sz="2" w:space="0"/>
              <w:left w:val="single" w:color="auto" w:sz="2" w:space="0"/>
              <w:bottom w:val="single" w:color="auto" w:sz="2" w:space="0"/>
              <w:right w:val="single" w:color="auto" w:sz="2" w:space="0"/>
            </w:tcBorders>
            <w:vAlign w:val="center"/>
          </w:tcPr>
          <w:p w14:paraId="782199B2">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12F4A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1,431,685.98</w:t>
            </w:r>
          </w:p>
        </w:tc>
        <w:tc>
          <w:tcPr>
            <w:tcW w:w="1205" w:type="dxa"/>
            <w:tcBorders>
              <w:top w:val="single" w:color="auto" w:sz="2" w:space="0"/>
              <w:left w:val="single" w:color="auto" w:sz="2" w:space="0"/>
              <w:bottom w:val="single" w:color="auto" w:sz="2" w:space="0"/>
              <w:right w:val="single" w:color="auto" w:sz="2" w:space="0"/>
            </w:tcBorders>
            <w:vAlign w:val="center"/>
          </w:tcPr>
          <w:p w14:paraId="089E91A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1933D0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CB7057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柘荣县发展和改革局-阿泰特韦片/利那韦片组合包装完成III期临床试验研发投入补贴</w:t>
            </w:r>
          </w:p>
        </w:tc>
        <w:tc>
          <w:tcPr>
            <w:tcW w:w="1205" w:type="dxa"/>
            <w:tcBorders>
              <w:top w:val="single" w:color="auto" w:sz="2" w:space="0"/>
              <w:left w:val="single" w:color="auto" w:sz="2" w:space="0"/>
              <w:bottom w:val="single" w:color="auto" w:sz="2" w:space="0"/>
              <w:right w:val="single" w:color="auto" w:sz="2" w:space="0"/>
            </w:tcBorders>
            <w:vAlign w:val="center"/>
          </w:tcPr>
          <w:p w14:paraId="446CB9D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29,719,626.17</w:t>
            </w:r>
          </w:p>
        </w:tc>
        <w:tc>
          <w:tcPr>
            <w:tcW w:w="1205" w:type="dxa"/>
            <w:tcBorders>
              <w:top w:val="single" w:color="auto" w:sz="2" w:space="0"/>
              <w:left w:val="single" w:color="auto" w:sz="2" w:space="0"/>
              <w:bottom w:val="single" w:color="auto" w:sz="2" w:space="0"/>
              <w:right w:val="single" w:color="auto" w:sz="2" w:space="0"/>
            </w:tcBorders>
            <w:vAlign w:val="center"/>
          </w:tcPr>
          <w:p w14:paraId="6125743E">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121E70D">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B261D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1,682,242.98</w:t>
            </w:r>
          </w:p>
        </w:tc>
        <w:tc>
          <w:tcPr>
            <w:tcW w:w="1205" w:type="dxa"/>
            <w:tcBorders>
              <w:top w:val="single" w:color="auto" w:sz="2" w:space="0"/>
              <w:left w:val="single" w:color="auto" w:sz="2" w:space="0"/>
              <w:bottom w:val="single" w:color="auto" w:sz="2" w:space="0"/>
              <w:right w:val="single" w:color="auto" w:sz="2" w:space="0"/>
            </w:tcBorders>
            <w:vAlign w:val="center"/>
          </w:tcPr>
          <w:p w14:paraId="730B9DEA">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4BF40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28,037,383.19</w:t>
            </w:r>
          </w:p>
        </w:tc>
        <w:tc>
          <w:tcPr>
            <w:tcW w:w="1205" w:type="dxa"/>
            <w:tcBorders>
              <w:top w:val="single" w:color="auto" w:sz="2" w:space="0"/>
              <w:left w:val="single" w:color="auto" w:sz="2" w:space="0"/>
              <w:bottom w:val="single" w:color="auto" w:sz="2" w:space="0"/>
              <w:right w:val="single" w:color="auto" w:sz="2" w:space="0"/>
            </w:tcBorders>
            <w:vAlign w:val="center"/>
          </w:tcPr>
          <w:p w14:paraId="0C52636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47FA42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599BE6B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镇江新区丁卯片区厂房搬迁补偿款</w:t>
            </w:r>
          </w:p>
        </w:tc>
        <w:tc>
          <w:tcPr>
            <w:tcW w:w="1205" w:type="dxa"/>
            <w:tcBorders>
              <w:top w:val="single" w:color="auto" w:sz="2" w:space="0"/>
              <w:left w:val="single" w:color="auto" w:sz="2" w:space="0"/>
              <w:bottom w:val="single" w:color="auto" w:sz="2" w:space="0"/>
              <w:right w:val="single" w:color="auto" w:sz="2" w:space="0"/>
            </w:tcBorders>
            <w:vAlign w:val="center"/>
          </w:tcPr>
          <w:p w14:paraId="612E91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24,083,390.38</w:t>
            </w:r>
          </w:p>
        </w:tc>
        <w:tc>
          <w:tcPr>
            <w:tcW w:w="1205" w:type="dxa"/>
            <w:tcBorders>
              <w:top w:val="single" w:color="auto" w:sz="2" w:space="0"/>
              <w:left w:val="single" w:color="auto" w:sz="2" w:space="0"/>
              <w:bottom w:val="single" w:color="auto" w:sz="2" w:space="0"/>
              <w:right w:val="single" w:color="auto" w:sz="2" w:space="0"/>
            </w:tcBorders>
            <w:vAlign w:val="center"/>
          </w:tcPr>
          <w:p w14:paraId="080AA28E">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B3EA4DB">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FF9599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1,256,524.74</w:t>
            </w:r>
          </w:p>
        </w:tc>
        <w:tc>
          <w:tcPr>
            <w:tcW w:w="1205" w:type="dxa"/>
            <w:tcBorders>
              <w:top w:val="single" w:color="auto" w:sz="2" w:space="0"/>
              <w:left w:val="single" w:color="auto" w:sz="2" w:space="0"/>
              <w:bottom w:val="single" w:color="auto" w:sz="2" w:space="0"/>
              <w:right w:val="single" w:color="auto" w:sz="2" w:space="0"/>
            </w:tcBorders>
            <w:vAlign w:val="center"/>
          </w:tcPr>
          <w:p w14:paraId="681A4B45">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71BAD78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22,826,865.64</w:t>
            </w:r>
          </w:p>
        </w:tc>
        <w:tc>
          <w:tcPr>
            <w:tcW w:w="1205" w:type="dxa"/>
            <w:tcBorders>
              <w:top w:val="single" w:color="auto" w:sz="2" w:space="0"/>
              <w:left w:val="single" w:color="auto" w:sz="2" w:space="0"/>
              <w:bottom w:val="single" w:color="auto" w:sz="2" w:space="0"/>
              <w:right w:val="single" w:color="auto" w:sz="2" w:space="0"/>
            </w:tcBorders>
            <w:vAlign w:val="center"/>
          </w:tcPr>
          <w:p w14:paraId="3455F68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与资产相关</w:t>
            </w:r>
          </w:p>
        </w:tc>
      </w:tr>
      <w:tr w14:paraId="161F4C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7C04E7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205" w:type="dxa"/>
            <w:tcBorders>
              <w:top w:val="single" w:color="auto" w:sz="2" w:space="0"/>
              <w:left w:val="single" w:color="auto" w:sz="2" w:space="0"/>
              <w:bottom w:val="single" w:color="auto" w:sz="2" w:space="0"/>
              <w:right w:val="single" w:color="auto" w:sz="2" w:space="0"/>
            </w:tcBorders>
            <w:vAlign w:val="center"/>
          </w:tcPr>
          <w:p w14:paraId="2FED29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65,990,600.62</w:t>
            </w:r>
          </w:p>
        </w:tc>
        <w:tc>
          <w:tcPr>
            <w:tcW w:w="1205" w:type="dxa"/>
            <w:tcBorders>
              <w:top w:val="single" w:color="auto" w:sz="2" w:space="0"/>
              <w:left w:val="single" w:color="auto" w:sz="2" w:space="0"/>
              <w:bottom w:val="single" w:color="auto" w:sz="2" w:space="0"/>
              <w:right w:val="single" w:color="auto" w:sz="2" w:space="0"/>
            </w:tcBorders>
            <w:vAlign w:val="center"/>
          </w:tcPr>
          <w:p w14:paraId="68F3FD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1,687,700.00</w:t>
            </w:r>
          </w:p>
        </w:tc>
        <w:tc>
          <w:tcPr>
            <w:tcW w:w="1205" w:type="dxa"/>
            <w:tcBorders>
              <w:top w:val="single" w:color="auto" w:sz="2" w:space="0"/>
              <w:left w:val="single" w:color="auto" w:sz="2" w:space="0"/>
              <w:bottom w:val="single" w:color="auto" w:sz="2" w:space="0"/>
              <w:right w:val="single" w:color="auto" w:sz="2" w:space="0"/>
            </w:tcBorders>
            <w:vAlign w:val="center"/>
          </w:tcPr>
          <w:p w14:paraId="45FD3EE8">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23455B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3,758,680.03</w:t>
            </w:r>
          </w:p>
        </w:tc>
        <w:tc>
          <w:tcPr>
            <w:tcW w:w="1205" w:type="dxa"/>
            <w:tcBorders>
              <w:top w:val="single" w:color="auto" w:sz="2" w:space="0"/>
              <w:left w:val="single" w:color="auto" w:sz="2" w:space="0"/>
              <w:bottom w:val="single" w:color="auto" w:sz="2" w:space="0"/>
              <w:right w:val="single" w:color="auto" w:sz="2" w:space="0"/>
            </w:tcBorders>
            <w:vAlign w:val="center"/>
          </w:tcPr>
          <w:p w14:paraId="548AB15C">
            <w:pPr>
              <w:spacing w:before="0" w:after="0" w:line="240" w:lineRule="exact"/>
              <w:jc w:val="right"/>
              <w:rPr>
                <w:rFonts w:ascii="宋体" w:hAnsi="宋体" w:eastAsia="宋体" w:cs="宋体"/>
                <w:color w:val="auto"/>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6246E9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63,919,620.59</w:t>
            </w:r>
          </w:p>
        </w:tc>
        <w:tc>
          <w:tcPr>
            <w:tcW w:w="1205" w:type="dxa"/>
            <w:tcBorders>
              <w:top w:val="single" w:color="auto" w:sz="2" w:space="0"/>
              <w:left w:val="single" w:color="auto" w:sz="2" w:space="0"/>
              <w:bottom w:val="single" w:color="auto" w:sz="2" w:space="0"/>
              <w:right w:val="single" w:color="auto" w:sz="2" w:space="0"/>
            </w:tcBorders>
            <w:vAlign w:val="center"/>
          </w:tcPr>
          <w:p w14:paraId="4B703CD5">
            <w:pPr>
              <w:spacing w:before="0" w:after="0" w:line="240" w:lineRule="exact"/>
              <w:jc w:val="left"/>
              <w:rPr>
                <w:rFonts w:ascii="宋体" w:hAnsi="宋体" w:eastAsia="宋体" w:cs="宋体"/>
                <w:color w:val="auto"/>
                <w:sz w:val="18"/>
                <w:szCs w:val="18"/>
              </w:rPr>
            </w:pPr>
          </w:p>
        </w:tc>
      </w:tr>
    </w:tbl>
    <w:p w14:paraId="6D77C600">
      <w:pPr>
        <w:keepNext/>
        <w:keepLines/>
        <w:spacing w:before="300" w:after="300" w:line="280" w:lineRule="exact"/>
        <w:jc w:val="left"/>
        <w:outlineLvl w:val="2"/>
        <w:rPr>
          <w:rFonts w:ascii="宋体" w:hAnsi="宋体" w:eastAsia="宋体" w:cs="宋体"/>
          <w:b/>
          <w:bCs/>
          <w:color w:val="auto"/>
          <w:sz w:val="21"/>
          <w:szCs w:val="21"/>
        </w:rPr>
      </w:pPr>
      <w:bookmarkStart w:id="349" w:name="_Toc989325"/>
      <w:r>
        <w:rPr>
          <w:rFonts w:ascii="宋体" w:hAnsi="宋体" w:eastAsia="宋体" w:cs="宋体"/>
          <w:b/>
          <w:bCs/>
          <w:color w:val="auto"/>
          <w:sz w:val="21"/>
          <w:szCs w:val="21"/>
        </w:rPr>
        <w:t>3、计入当期损益的政府补助</w:t>
      </w:r>
      <w:bookmarkEnd w:id="349"/>
    </w:p>
    <w:p w14:paraId="5F942EF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sym w:font="Wingdings 2" w:char="F052"/>
      </w:r>
      <w:r>
        <w:rPr>
          <w:rFonts w:ascii="宋体" w:hAnsi="宋体" w:eastAsia="宋体" w:cs="宋体"/>
          <w:color w:val="auto"/>
          <w:sz w:val="18"/>
          <w:szCs w:val="18"/>
        </w:rPr>
        <w:t>适用□不适用</w:t>
      </w:r>
    </w:p>
    <w:p w14:paraId="060062D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52B4E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B73B0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会计科目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21BDA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173F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036FAC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E2E171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递延收益摊销</w:t>
            </w:r>
          </w:p>
        </w:tc>
        <w:tc>
          <w:tcPr>
            <w:tcW w:w="3213" w:type="dxa"/>
            <w:tcBorders>
              <w:top w:val="single" w:color="auto" w:sz="2" w:space="0"/>
              <w:left w:val="single" w:color="auto" w:sz="2" w:space="0"/>
              <w:bottom w:val="single" w:color="auto" w:sz="2" w:space="0"/>
              <w:right w:val="single" w:color="auto" w:sz="2" w:space="0"/>
            </w:tcBorders>
            <w:vAlign w:val="center"/>
          </w:tcPr>
          <w:p w14:paraId="7DA751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3,758,680.03</w:t>
            </w:r>
          </w:p>
        </w:tc>
        <w:tc>
          <w:tcPr>
            <w:tcW w:w="3213" w:type="dxa"/>
            <w:tcBorders>
              <w:top w:val="single" w:color="auto" w:sz="2" w:space="0"/>
              <w:left w:val="single" w:color="auto" w:sz="2" w:space="0"/>
              <w:bottom w:val="single" w:color="auto" w:sz="2" w:space="0"/>
              <w:right w:val="single" w:color="auto" w:sz="2" w:space="0"/>
            </w:tcBorders>
            <w:vAlign w:val="center"/>
          </w:tcPr>
          <w:p w14:paraId="138CE1C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1,881,695.72</w:t>
            </w:r>
          </w:p>
        </w:tc>
      </w:tr>
      <w:tr w14:paraId="6D9701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D28A7F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收镇江市丹徒区财政局-2020年度镇江市企业知识产权战略推进项目</w:t>
            </w:r>
          </w:p>
        </w:tc>
        <w:tc>
          <w:tcPr>
            <w:tcW w:w="3213" w:type="dxa"/>
            <w:tcBorders>
              <w:top w:val="single" w:color="auto" w:sz="2" w:space="0"/>
              <w:left w:val="single" w:color="auto" w:sz="2" w:space="0"/>
              <w:bottom w:val="single" w:color="auto" w:sz="2" w:space="0"/>
              <w:right w:val="single" w:color="auto" w:sz="2" w:space="0"/>
            </w:tcBorders>
            <w:vAlign w:val="center"/>
          </w:tcPr>
          <w:p w14:paraId="5F7D9B3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67A75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240,000.00</w:t>
            </w:r>
          </w:p>
        </w:tc>
      </w:tr>
      <w:tr w14:paraId="31A961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073E6E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收镇江市丹徒区总工会-四季度工会经费返还</w:t>
            </w:r>
          </w:p>
        </w:tc>
        <w:tc>
          <w:tcPr>
            <w:tcW w:w="3213" w:type="dxa"/>
            <w:tcBorders>
              <w:top w:val="single" w:color="auto" w:sz="2" w:space="0"/>
              <w:left w:val="single" w:color="auto" w:sz="2" w:space="0"/>
              <w:bottom w:val="single" w:color="auto" w:sz="2" w:space="0"/>
              <w:right w:val="single" w:color="auto" w:sz="2" w:space="0"/>
            </w:tcBorders>
            <w:vAlign w:val="center"/>
          </w:tcPr>
          <w:p w14:paraId="4237ED0F">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6AAB1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15,007.95</w:t>
            </w:r>
          </w:p>
        </w:tc>
      </w:tr>
      <w:tr w14:paraId="26AE35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6B46A5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收镇江市丹徒高新技术产业园管理委员会-2022年度纳税总量贡献奖</w:t>
            </w:r>
          </w:p>
        </w:tc>
        <w:tc>
          <w:tcPr>
            <w:tcW w:w="3213" w:type="dxa"/>
            <w:tcBorders>
              <w:top w:val="single" w:color="auto" w:sz="2" w:space="0"/>
              <w:left w:val="single" w:color="auto" w:sz="2" w:space="0"/>
              <w:bottom w:val="single" w:color="auto" w:sz="2" w:space="0"/>
              <w:right w:val="single" w:color="auto" w:sz="2" w:space="0"/>
            </w:tcBorders>
            <w:vAlign w:val="center"/>
          </w:tcPr>
          <w:p w14:paraId="492010AA">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FD4705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w:t>
            </w:r>
          </w:p>
        </w:tc>
      </w:tr>
      <w:tr w14:paraId="027CC6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D0D50F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收中共柘荣县委组织部-中共柘荣县委组织部省引才“百人计划”补助</w:t>
            </w:r>
          </w:p>
        </w:tc>
        <w:tc>
          <w:tcPr>
            <w:tcW w:w="3213" w:type="dxa"/>
            <w:tcBorders>
              <w:top w:val="single" w:color="auto" w:sz="2" w:space="0"/>
              <w:left w:val="single" w:color="auto" w:sz="2" w:space="0"/>
              <w:bottom w:val="single" w:color="auto" w:sz="2" w:space="0"/>
              <w:right w:val="single" w:color="auto" w:sz="2" w:space="0"/>
            </w:tcBorders>
            <w:vAlign w:val="center"/>
          </w:tcPr>
          <w:p w14:paraId="6BD0807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1B252C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250,000.00</w:t>
            </w:r>
          </w:p>
        </w:tc>
      </w:tr>
      <w:tr w14:paraId="7B07D5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E72AAE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收福州市劳动就业中心失业保险基金管理专用-高新区202402批次扩岗补助款</w:t>
            </w:r>
          </w:p>
        </w:tc>
        <w:tc>
          <w:tcPr>
            <w:tcW w:w="3213" w:type="dxa"/>
            <w:tcBorders>
              <w:top w:val="single" w:color="auto" w:sz="2" w:space="0"/>
              <w:left w:val="single" w:color="auto" w:sz="2" w:space="0"/>
              <w:bottom w:val="single" w:color="auto" w:sz="2" w:space="0"/>
              <w:right w:val="single" w:color="auto" w:sz="2" w:space="0"/>
            </w:tcBorders>
            <w:vAlign w:val="center"/>
          </w:tcPr>
          <w:p w14:paraId="5D3F8FA9">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06A5D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4,500.00</w:t>
            </w:r>
          </w:p>
        </w:tc>
      </w:tr>
      <w:tr w14:paraId="7E0C9B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FABDC7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收福州市劳动就业中心失业保险基金管理专用-高校毕业生第一批扩岗补助</w:t>
            </w:r>
          </w:p>
        </w:tc>
        <w:tc>
          <w:tcPr>
            <w:tcW w:w="3213" w:type="dxa"/>
            <w:tcBorders>
              <w:top w:val="single" w:color="auto" w:sz="2" w:space="0"/>
              <w:left w:val="single" w:color="auto" w:sz="2" w:space="0"/>
              <w:bottom w:val="single" w:color="auto" w:sz="2" w:space="0"/>
              <w:right w:val="single" w:color="auto" w:sz="2" w:space="0"/>
            </w:tcBorders>
            <w:vAlign w:val="center"/>
          </w:tcPr>
          <w:p w14:paraId="6C497325">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C86D3E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1,500.00</w:t>
            </w:r>
          </w:p>
        </w:tc>
      </w:tr>
      <w:tr w14:paraId="1509BA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068334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收柘荣县劳动就业服务中心职工失业保险基金-2023年稳岗返还</w:t>
            </w:r>
          </w:p>
        </w:tc>
        <w:tc>
          <w:tcPr>
            <w:tcW w:w="3213" w:type="dxa"/>
            <w:tcBorders>
              <w:top w:val="single" w:color="auto" w:sz="2" w:space="0"/>
              <w:left w:val="single" w:color="auto" w:sz="2" w:space="0"/>
              <w:bottom w:val="single" w:color="auto" w:sz="2" w:space="0"/>
              <w:right w:val="single" w:color="auto" w:sz="2" w:space="0"/>
            </w:tcBorders>
            <w:vAlign w:val="center"/>
          </w:tcPr>
          <w:p w14:paraId="0518AF56">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96FD7C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34,912.05</w:t>
            </w:r>
          </w:p>
        </w:tc>
      </w:tr>
      <w:tr w14:paraId="35889C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0BE2BE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收柘荣县财政局-广生堂枸橼酸西地那非片研发奖励</w:t>
            </w:r>
          </w:p>
        </w:tc>
        <w:tc>
          <w:tcPr>
            <w:tcW w:w="3213" w:type="dxa"/>
            <w:tcBorders>
              <w:top w:val="single" w:color="auto" w:sz="2" w:space="0"/>
              <w:left w:val="single" w:color="auto" w:sz="2" w:space="0"/>
              <w:bottom w:val="single" w:color="auto" w:sz="2" w:space="0"/>
              <w:right w:val="single" w:color="auto" w:sz="2" w:space="0"/>
            </w:tcBorders>
            <w:vAlign w:val="center"/>
          </w:tcPr>
          <w:p w14:paraId="6D3C9300">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4CBE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3,000,000.00</w:t>
            </w:r>
          </w:p>
        </w:tc>
      </w:tr>
      <w:tr w14:paraId="0F0262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66F30E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收柘荣县工业和信息化局-2023年纳税贡献户奖励金</w:t>
            </w:r>
          </w:p>
        </w:tc>
        <w:tc>
          <w:tcPr>
            <w:tcW w:w="3213" w:type="dxa"/>
            <w:tcBorders>
              <w:top w:val="single" w:color="auto" w:sz="2" w:space="0"/>
              <w:left w:val="single" w:color="auto" w:sz="2" w:space="0"/>
              <w:bottom w:val="single" w:color="auto" w:sz="2" w:space="0"/>
              <w:right w:val="single" w:color="auto" w:sz="2" w:space="0"/>
            </w:tcBorders>
            <w:vAlign w:val="center"/>
          </w:tcPr>
          <w:p w14:paraId="17119D8D">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8A4067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20,000.00</w:t>
            </w:r>
          </w:p>
        </w:tc>
      </w:tr>
      <w:tr w14:paraId="2A1326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9F645A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收镇江市丹徒高新技术产业园管理委员会-2023年度纳税总量贡献奖</w:t>
            </w:r>
          </w:p>
        </w:tc>
        <w:tc>
          <w:tcPr>
            <w:tcW w:w="3213" w:type="dxa"/>
            <w:tcBorders>
              <w:top w:val="single" w:color="auto" w:sz="2" w:space="0"/>
              <w:left w:val="single" w:color="auto" w:sz="2" w:space="0"/>
              <w:bottom w:val="single" w:color="auto" w:sz="2" w:space="0"/>
              <w:right w:val="single" w:color="auto" w:sz="2" w:space="0"/>
            </w:tcBorders>
            <w:vAlign w:val="center"/>
          </w:tcPr>
          <w:p w14:paraId="27822CEB">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05894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w:t>
            </w:r>
          </w:p>
        </w:tc>
      </w:tr>
      <w:tr w14:paraId="1495AC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E3D55B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收中共邵武市委组织部-转2023年企业吸纳人才补贴（1人）</w:t>
            </w:r>
          </w:p>
        </w:tc>
        <w:tc>
          <w:tcPr>
            <w:tcW w:w="3213" w:type="dxa"/>
            <w:tcBorders>
              <w:top w:val="single" w:color="auto" w:sz="2" w:space="0"/>
              <w:left w:val="single" w:color="auto" w:sz="2" w:space="0"/>
              <w:bottom w:val="single" w:color="auto" w:sz="2" w:space="0"/>
              <w:right w:val="single" w:color="auto" w:sz="2" w:space="0"/>
            </w:tcBorders>
            <w:vAlign w:val="center"/>
          </w:tcPr>
          <w:p w14:paraId="36B56F83">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95B2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w:t>
            </w:r>
          </w:p>
        </w:tc>
      </w:tr>
      <w:tr w14:paraId="0A8C97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59F3C1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收到柘荣县财政局-福建省创新药物研发奖补经费（GST-HG171片完成I期临床试验研发投入）</w:t>
            </w:r>
          </w:p>
        </w:tc>
        <w:tc>
          <w:tcPr>
            <w:tcW w:w="3213" w:type="dxa"/>
            <w:tcBorders>
              <w:top w:val="single" w:color="auto" w:sz="2" w:space="0"/>
              <w:left w:val="single" w:color="auto" w:sz="2" w:space="0"/>
              <w:bottom w:val="single" w:color="auto" w:sz="2" w:space="0"/>
              <w:right w:val="single" w:color="auto" w:sz="2" w:space="0"/>
            </w:tcBorders>
            <w:vAlign w:val="center"/>
          </w:tcPr>
          <w:p w14:paraId="7D07CF9C">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3652C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4,000,000.00</w:t>
            </w:r>
          </w:p>
        </w:tc>
      </w:tr>
      <w:tr w14:paraId="3D1E9B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9EACD6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收到柘荣县财政局-福建省创新生物研发奖（GST-HG171片完成I期临床试验研发投入）</w:t>
            </w:r>
          </w:p>
        </w:tc>
        <w:tc>
          <w:tcPr>
            <w:tcW w:w="3213" w:type="dxa"/>
            <w:tcBorders>
              <w:top w:val="single" w:color="auto" w:sz="2" w:space="0"/>
              <w:left w:val="single" w:color="auto" w:sz="2" w:space="0"/>
              <w:bottom w:val="single" w:color="auto" w:sz="2" w:space="0"/>
              <w:right w:val="single" w:color="auto" w:sz="2" w:space="0"/>
            </w:tcBorders>
            <w:vAlign w:val="center"/>
          </w:tcPr>
          <w:p w14:paraId="1C2888C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2BFDF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4,696,000.00</w:t>
            </w:r>
          </w:p>
        </w:tc>
      </w:tr>
      <w:tr w14:paraId="23FBFE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DD48D7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收中共邵武市委组织部-2024年企业吸纳高校毕业生就业一次性补助</w:t>
            </w:r>
          </w:p>
        </w:tc>
        <w:tc>
          <w:tcPr>
            <w:tcW w:w="3213" w:type="dxa"/>
            <w:tcBorders>
              <w:top w:val="single" w:color="auto" w:sz="2" w:space="0"/>
              <w:left w:val="single" w:color="auto" w:sz="2" w:space="0"/>
              <w:bottom w:val="single" w:color="auto" w:sz="2" w:space="0"/>
              <w:right w:val="single" w:color="auto" w:sz="2" w:space="0"/>
            </w:tcBorders>
            <w:vAlign w:val="center"/>
          </w:tcPr>
          <w:p w14:paraId="3AB953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w:t>
            </w:r>
          </w:p>
        </w:tc>
        <w:tc>
          <w:tcPr>
            <w:tcW w:w="3213" w:type="dxa"/>
            <w:tcBorders>
              <w:top w:val="single" w:color="auto" w:sz="2" w:space="0"/>
              <w:left w:val="single" w:color="auto" w:sz="2" w:space="0"/>
              <w:bottom w:val="single" w:color="auto" w:sz="2" w:space="0"/>
              <w:right w:val="single" w:color="auto" w:sz="2" w:space="0"/>
            </w:tcBorders>
            <w:vAlign w:val="center"/>
          </w:tcPr>
          <w:p w14:paraId="158DEF57">
            <w:pPr>
              <w:spacing w:before="0" w:after="0" w:line="240" w:lineRule="exact"/>
              <w:jc w:val="right"/>
              <w:rPr>
                <w:rFonts w:ascii="宋体" w:hAnsi="宋体" w:eastAsia="宋体" w:cs="宋体"/>
                <w:color w:val="auto"/>
                <w:sz w:val="18"/>
                <w:szCs w:val="18"/>
              </w:rPr>
            </w:pPr>
          </w:p>
        </w:tc>
      </w:tr>
      <w:tr w14:paraId="39E589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CE8B5B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收柘荣县发展和改革局-2024年度宁德市产学研合作项目</w:t>
            </w:r>
          </w:p>
        </w:tc>
        <w:tc>
          <w:tcPr>
            <w:tcW w:w="3213" w:type="dxa"/>
            <w:tcBorders>
              <w:top w:val="single" w:color="auto" w:sz="2" w:space="0"/>
              <w:left w:val="single" w:color="auto" w:sz="2" w:space="0"/>
              <w:bottom w:val="single" w:color="auto" w:sz="2" w:space="0"/>
              <w:right w:val="single" w:color="auto" w:sz="2" w:space="0"/>
            </w:tcBorders>
            <w:vAlign w:val="center"/>
          </w:tcPr>
          <w:p w14:paraId="14742B6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w:t>
            </w:r>
          </w:p>
        </w:tc>
        <w:tc>
          <w:tcPr>
            <w:tcW w:w="3213" w:type="dxa"/>
            <w:tcBorders>
              <w:top w:val="single" w:color="auto" w:sz="2" w:space="0"/>
              <w:left w:val="single" w:color="auto" w:sz="2" w:space="0"/>
              <w:bottom w:val="single" w:color="auto" w:sz="2" w:space="0"/>
              <w:right w:val="single" w:color="auto" w:sz="2" w:space="0"/>
            </w:tcBorders>
            <w:vAlign w:val="center"/>
          </w:tcPr>
          <w:p w14:paraId="37EC6CDD">
            <w:pPr>
              <w:spacing w:before="0" w:after="0" w:line="240" w:lineRule="exact"/>
              <w:jc w:val="right"/>
              <w:rPr>
                <w:rFonts w:ascii="宋体" w:hAnsi="宋体" w:eastAsia="宋体" w:cs="宋体"/>
                <w:color w:val="auto"/>
                <w:sz w:val="18"/>
                <w:szCs w:val="18"/>
              </w:rPr>
            </w:pPr>
          </w:p>
        </w:tc>
      </w:tr>
      <w:tr w14:paraId="7BC62F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BDBD1B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收柘荣县发展和改革局-2024年度宁德市“人才飞地”科研成果转化补助项目</w:t>
            </w:r>
          </w:p>
        </w:tc>
        <w:tc>
          <w:tcPr>
            <w:tcW w:w="3213" w:type="dxa"/>
            <w:tcBorders>
              <w:top w:val="single" w:color="auto" w:sz="2" w:space="0"/>
              <w:left w:val="single" w:color="auto" w:sz="2" w:space="0"/>
              <w:bottom w:val="single" w:color="auto" w:sz="2" w:space="0"/>
              <w:right w:val="single" w:color="auto" w:sz="2" w:space="0"/>
            </w:tcBorders>
            <w:vAlign w:val="center"/>
          </w:tcPr>
          <w:p w14:paraId="2CFCA77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w:t>
            </w:r>
          </w:p>
        </w:tc>
        <w:tc>
          <w:tcPr>
            <w:tcW w:w="3213" w:type="dxa"/>
            <w:tcBorders>
              <w:top w:val="single" w:color="auto" w:sz="2" w:space="0"/>
              <w:left w:val="single" w:color="auto" w:sz="2" w:space="0"/>
              <w:bottom w:val="single" w:color="auto" w:sz="2" w:space="0"/>
              <w:right w:val="single" w:color="auto" w:sz="2" w:space="0"/>
            </w:tcBorders>
            <w:vAlign w:val="center"/>
          </w:tcPr>
          <w:p w14:paraId="544AA871">
            <w:pPr>
              <w:spacing w:before="0" w:after="0" w:line="240" w:lineRule="exact"/>
              <w:jc w:val="right"/>
              <w:rPr>
                <w:rFonts w:ascii="宋体" w:hAnsi="宋体" w:eastAsia="宋体" w:cs="宋体"/>
                <w:color w:val="auto"/>
                <w:sz w:val="18"/>
                <w:szCs w:val="18"/>
              </w:rPr>
            </w:pPr>
          </w:p>
        </w:tc>
      </w:tr>
      <w:tr w14:paraId="52B768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89EAEF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收福州高新技术产业开发区党群工作部-高新区2025年企业吸纳中西部脱贫人口跨省就业奖补</w:t>
            </w:r>
          </w:p>
        </w:tc>
        <w:tc>
          <w:tcPr>
            <w:tcW w:w="3213" w:type="dxa"/>
            <w:tcBorders>
              <w:top w:val="single" w:color="auto" w:sz="2" w:space="0"/>
              <w:left w:val="single" w:color="auto" w:sz="2" w:space="0"/>
              <w:bottom w:val="single" w:color="auto" w:sz="2" w:space="0"/>
              <w:right w:val="single" w:color="auto" w:sz="2" w:space="0"/>
            </w:tcBorders>
            <w:vAlign w:val="center"/>
          </w:tcPr>
          <w:p w14:paraId="063F5F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576.92</w:t>
            </w:r>
          </w:p>
        </w:tc>
        <w:tc>
          <w:tcPr>
            <w:tcW w:w="3213" w:type="dxa"/>
            <w:tcBorders>
              <w:top w:val="single" w:color="auto" w:sz="2" w:space="0"/>
              <w:left w:val="single" w:color="auto" w:sz="2" w:space="0"/>
              <w:bottom w:val="single" w:color="auto" w:sz="2" w:space="0"/>
              <w:right w:val="single" w:color="auto" w:sz="2" w:space="0"/>
            </w:tcBorders>
            <w:vAlign w:val="center"/>
          </w:tcPr>
          <w:p w14:paraId="1977A88B">
            <w:pPr>
              <w:spacing w:before="0" w:after="0" w:line="240" w:lineRule="exact"/>
              <w:jc w:val="right"/>
              <w:rPr>
                <w:rFonts w:ascii="宋体" w:hAnsi="宋体" w:eastAsia="宋体" w:cs="宋体"/>
                <w:color w:val="auto"/>
                <w:sz w:val="18"/>
                <w:szCs w:val="18"/>
              </w:rPr>
            </w:pPr>
          </w:p>
        </w:tc>
      </w:tr>
      <w:tr w14:paraId="406E8F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32C497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收到柘荣县工业和信息化局-创新药物首次实现产业化生产奖励-宁财企指[2024]12号（2025-05-21）</w:t>
            </w:r>
          </w:p>
        </w:tc>
        <w:tc>
          <w:tcPr>
            <w:tcW w:w="3213" w:type="dxa"/>
            <w:tcBorders>
              <w:top w:val="single" w:color="auto" w:sz="2" w:space="0"/>
              <w:left w:val="single" w:color="auto" w:sz="2" w:space="0"/>
              <w:bottom w:val="single" w:color="auto" w:sz="2" w:space="0"/>
              <w:right w:val="single" w:color="auto" w:sz="2" w:space="0"/>
            </w:tcBorders>
            <w:vAlign w:val="center"/>
          </w:tcPr>
          <w:p w14:paraId="1D89DB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1,000,000.00</w:t>
            </w:r>
          </w:p>
        </w:tc>
        <w:tc>
          <w:tcPr>
            <w:tcW w:w="3213" w:type="dxa"/>
            <w:tcBorders>
              <w:top w:val="single" w:color="auto" w:sz="2" w:space="0"/>
              <w:left w:val="single" w:color="auto" w:sz="2" w:space="0"/>
              <w:bottom w:val="single" w:color="auto" w:sz="2" w:space="0"/>
              <w:right w:val="single" w:color="auto" w:sz="2" w:space="0"/>
            </w:tcBorders>
            <w:vAlign w:val="center"/>
          </w:tcPr>
          <w:p w14:paraId="2AF974C6">
            <w:pPr>
              <w:spacing w:before="0" w:after="0" w:line="240" w:lineRule="exact"/>
              <w:jc w:val="right"/>
              <w:rPr>
                <w:rFonts w:ascii="宋体" w:hAnsi="宋体" w:eastAsia="宋体" w:cs="宋体"/>
                <w:color w:val="auto"/>
                <w:sz w:val="18"/>
                <w:szCs w:val="18"/>
              </w:rPr>
            </w:pPr>
          </w:p>
        </w:tc>
      </w:tr>
      <w:tr w14:paraId="1044B7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215329B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收到柘荣县工业和信息化局-2024年企业入库及一季度限上零售额增长企业奖励资金-柘政办规〔2023]3号(2025-5-29)</w:t>
            </w:r>
          </w:p>
        </w:tc>
        <w:tc>
          <w:tcPr>
            <w:tcW w:w="3213" w:type="dxa"/>
            <w:tcBorders>
              <w:top w:val="single" w:color="auto" w:sz="2" w:space="0"/>
              <w:left w:val="single" w:color="auto" w:sz="2" w:space="0"/>
              <w:bottom w:val="single" w:color="auto" w:sz="2" w:space="0"/>
              <w:right w:val="single" w:color="auto" w:sz="2" w:space="0"/>
            </w:tcBorders>
            <w:vAlign w:val="center"/>
          </w:tcPr>
          <w:p w14:paraId="780DADD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40,000.00</w:t>
            </w:r>
          </w:p>
        </w:tc>
        <w:tc>
          <w:tcPr>
            <w:tcW w:w="3213" w:type="dxa"/>
            <w:tcBorders>
              <w:top w:val="single" w:color="auto" w:sz="2" w:space="0"/>
              <w:left w:val="single" w:color="auto" w:sz="2" w:space="0"/>
              <w:bottom w:val="single" w:color="auto" w:sz="2" w:space="0"/>
              <w:right w:val="single" w:color="auto" w:sz="2" w:space="0"/>
            </w:tcBorders>
            <w:vAlign w:val="center"/>
          </w:tcPr>
          <w:p w14:paraId="0B714AA9">
            <w:pPr>
              <w:spacing w:before="0" w:after="0" w:line="240" w:lineRule="exact"/>
              <w:jc w:val="right"/>
              <w:rPr>
                <w:rFonts w:ascii="宋体" w:hAnsi="宋体" w:eastAsia="宋体" w:cs="宋体"/>
                <w:color w:val="auto"/>
                <w:sz w:val="18"/>
                <w:szCs w:val="18"/>
              </w:rPr>
            </w:pPr>
          </w:p>
        </w:tc>
      </w:tr>
      <w:tr w14:paraId="1DBB5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00846B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收其他代理业务资金社保就管中心-扩岗补贴</w:t>
            </w:r>
          </w:p>
        </w:tc>
        <w:tc>
          <w:tcPr>
            <w:tcW w:w="3213" w:type="dxa"/>
            <w:tcBorders>
              <w:top w:val="single" w:color="auto" w:sz="2" w:space="0"/>
              <w:left w:val="single" w:color="auto" w:sz="2" w:space="0"/>
              <w:bottom w:val="single" w:color="auto" w:sz="2" w:space="0"/>
              <w:right w:val="single" w:color="auto" w:sz="2" w:space="0"/>
            </w:tcBorders>
            <w:vAlign w:val="center"/>
          </w:tcPr>
          <w:p w14:paraId="3B26B0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3,000.00</w:t>
            </w:r>
          </w:p>
        </w:tc>
        <w:tc>
          <w:tcPr>
            <w:tcW w:w="3213" w:type="dxa"/>
            <w:tcBorders>
              <w:top w:val="single" w:color="auto" w:sz="2" w:space="0"/>
              <w:left w:val="single" w:color="auto" w:sz="2" w:space="0"/>
              <w:bottom w:val="single" w:color="auto" w:sz="2" w:space="0"/>
              <w:right w:val="single" w:color="auto" w:sz="2" w:space="0"/>
            </w:tcBorders>
            <w:vAlign w:val="center"/>
          </w:tcPr>
          <w:p w14:paraId="36438DD9">
            <w:pPr>
              <w:spacing w:before="0" w:after="0" w:line="240" w:lineRule="exact"/>
              <w:jc w:val="right"/>
              <w:rPr>
                <w:rFonts w:ascii="宋体" w:hAnsi="宋体" w:eastAsia="宋体" w:cs="宋体"/>
                <w:color w:val="auto"/>
                <w:sz w:val="18"/>
                <w:szCs w:val="18"/>
              </w:rPr>
            </w:pPr>
          </w:p>
        </w:tc>
      </w:tr>
      <w:tr w14:paraId="4ED7A2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F3A533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收到税务局23年代扣代缴个人所得税返还</w:t>
            </w:r>
          </w:p>
        </w:tc>
        <w:tc>
          <w:tcPr>
            <w:tcW w:w="3213" w:type="dxa"/>
            <w:tcBorders>
              <w:top w:val="single" w:color="auto" w:sz="2" w:space="0"/>
              <w:left w:val="single" w:color="auto" w:sz="2" w:space="0"/>
              <w:bottom w:val="single" w:color="auto" w:sz="2" w:space="0"/>
              <w:right w:val="single" w:color="auto" w:sz="2" w:space="0"/>
            </w:tcBorders>
            <w:vAlign w:val="center"/>
          </w:tcPr>
          <w:p w14:paraId="7072CADE">
            <w:pPr>
              <w:spacing w:before="0" w:after="0" w:line="240" w:lineRule="exact"/>
              <w:jc w:val="right"/>
              <w:rPr>
                <w:rFonts w:ascii="宋体" w:hAnsi="宋体" w:eastAsia="宋体" w:cs="宋体"/>
                <w:color w:val="auto"/>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5FA7C6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154,241.19</w:t>
            </w:r>
          </w:p>
        </w:tc>
      </w:tr>
      <w:tr w14:paraId="7B0D1F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CDDCC6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收到税务局24年代扣代缴个人所得税返还</w:t>
            </w:r>
          </w:p>
        </w:tc>
        <w:tc>
          <w:tcPr>
            <w:tcW w:w="3213" w:type="dxa"/>
            <w:tcBorders>
              <w:top w:val="single" w:color="auto" w:sz="2" w:space="0"/>
              <w:left w:val="single" w:color="auto" w:sz="2" w:space="0"/>
              <w:bottom w:val="single" w:color="auto" w:sz="2" w:space="0"/>
              <w:right w:val="single" w:color="auto" w:sz="2" w:space="0"/>
            </w:tcBorders>
            <w:vAlign w:val="center"/>
          </w:tcPr>
          <w:p w14:paraId="7B983CC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165,920.41</w:t>
            </w:r>
          </w:p>
        </w:tc>
        <w:tc>
          <w:tcPr>
            <w:tcW w:w="3213" w:type="dxa"/>
            <w:tcBorders>
              <w:top w:val="single" w:color="auto" w:sz="2" w:space="0"/>
              <w:left w:val="single" w:color="auto" w:sz="2" w:space="0"/>
              <w:bottom w:val="single" w:color="auto" w:sz="2" w:space="0"/>
              <w:right w:val="single" w:color="auto" w:sz="2" w:space="0"/>
            </w:tcBorders>
            <w:vAlign w:val="center"/>
          </w:tcPr>
          <w:p w14:paraId="6AEA68E3">
            <w:pPr>
              <w:spacing w:before="0" w:after="0" w:line="240" w:lineRule="exact"/>
              <w:jc w:val="right"/>
              <w:rPr>
                <w:rFonts w:ascii="宋体" w:hAnsi="宋体" w:eastAsia="宋体" w:cs="宋体"/>
                <w:color w:val="auto"/>
                <w:sz w:val="18"/>
                <w:szCs w:val="18"/>
              </w:rPr>
            </w:pPr>
          </w:p>
        </w:tc>
      </w:tr>
      <w:tr w14:paraId="5C76BE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3CC691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加计抵减额</w:t>
            </w:r>
          </w:p>
        </w:tc>
        <w:tc>
          <w:tcPr>
            <w:tcW w:w="3213" w:type="dxa"/>
            <w:tcBorders>
              <w:top w:val="single" w:color="auto" w:sz="2" w:space="0"/>
              <w:left w:val="single" w:color="auto" w:sz="2" w:space="0"/>
              <w:bottom w:val="single" w:color="auto" w:sz="2" w:space="0"/>
              <w:right w:val="single" w:color="auto" w:sz="2" w:space="0"/>
            </w:tcBorders>
            <w:vAlign w:val="center"/>
          </w:tcPr>
          <w:p w14:paraId="4F91ED5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218,866.39</w:t>
            </w:r>
          </w:p>
        </w:tc>
        <w:tc>
          <w:tcPr>
            <w:tcW w:w="3213" w:type="dxa"/>
            <w:tcBorders>
              <w:top w:val="single" w:color="auto" w:sz="2" w:space="0"/>
              <w:left w:val="single" w:color="auto" w:sz="2" w:space="0"/>
              <w:bottom w:val="single" w:color="auto" w:sz="2" w:space="0"/>
              <w:right w:val="single" w:color="auto" w:sz="2" w:space="0"/>
            </w:tcBorders>
            <w:vAlign w:val="center"/>
          </w:tcPr>
          <w:p w14:paraId="2A1033B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1,378,887.47</w:t>
            </w:r>
          </w:p>
        </w:tc>
      </w:tr>
      <w:tr w14:paraId="777E37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3CE985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合 计</w:t>
            </w:r>
          </w:p>
        </w:tc>
        <w:tc>
          <w:tcPr>
            <w:tcW w:w="3213" w:type="dxa"/>
            <w:tcBorders>
              <w:top w:val="single" w:color="auto" w:sz="2" w:space="0"/>
              <w:left w:val="single" w:color="auto" w:sz="2" w:space="0"/>
              <w:bottom w:val="single" w:color="auto" w:sz="2" w:space="0"/>
              <w:right w:val="single" w:color="auto" w:sz="2" w:space="0"/>
            </w:tcBorders>
            <w:vAlign w:val="center"/>
          </w:tcPr>
          <w:p w14:paraId="68590F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5,742,043.75</w:t>
            </w:r>
          </w:p>
        </w:tc>
        <w:tc>
          <w:tcPr>
            <w:tcW w:w="3213" w:type="dxa"/>
            <w:tcBorders>
              <w:top w:val="single" w:color="auto" w:sz="2" w:space="0"/>
              <w:left w:val="single" w:color="auto" w:sz="2" w:space="0"/>
              <w:bottom w:val="single" w:color="auto" w:sz="2" w:space="0"/>
              <w:right w:val="single" w:color="auto" w:sz="2" w:space="0"/>
            </w:tcBorders>
            <w:vAlign w:val="center"/>
          </w:tcPr>
          <w:p w14:paraId="42E2BE5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15,877,744.38</w:t>
            </w:r>
          </w:p>
        </w:tc>
      </w:tr>
    </w:tbl>
    <w:p w14:paraId="54EC482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8CF698C">
      <w:pPr>
        <w:keepNext/>
        <w:keepLines/>
        <w:spacing w:before="300" w:after="300" w:line="320" w:lineRule="exact"/>
        <w:jc w:val="left"/>
        <w:outlineLvl w:val="1"/>
        <w:rPr>
          <w:rFonts w:ascii="宋体" w:hAnsi="宋体" w:eastAsia="宋体" w:cs="宋体"/>
          <w:b/>
          <w:bCs/>
          <w:color w:val="auto"/>
          <w:sz w:val="24"/>
          <w:szCs w:val="24"/>
        </w:rPr>
      </w:pPr>
      <w:bookmarkStart w:id="350" w:name="_Toc989326"/>
      <w:r>
        <w:rPr>
          <w:rFonts w:ascii="宋体" w:hAnsi="宋体" w:eastAsia="宋体" w:cs="宋体"/>
          <w:b/>
          <w:bCs/>
          <w:color w:val="auto"/>
          <w:sz w:val="24"/>
          <w:szCs w:val="24"/>
        </w:rPr>
        <w:t>十二、与金融工具相关的风险</w:t>
      </w:r>
      <w:bookmarkEnd w:id="350"/>
    </w:p>
    <w:p w14:paraId="6CBD3BDC">
      <w:pPr>
        <w:keepNext/>
        <w:keepLines/>
        <w:spacing w:before="300" w:after="300" w:line="280" w:lineRule="exact"/>
        <w:jc w:val="left"/>
        <w:outlineLvl w:val="2"/>
        <w:rPr>
          <w:rFonts w:ascii="宋体" w:hAnsi="宋体" w:eastAsia="宋体" w:cs="宋体"/>
          <w:b/>
          <w:bCs/>
          <w:color w:val="auto"/>
          <w:sz w:val="21"/>
          <w:szCs w:val="21"/>
        </w:rPr>
      </w:pPr>
      <w:bookmarkStart w:id="351" w:name="_Toc989327"/>
      <w:r>
        <w:rPr>
          <w:rFonts w:ascii="宋体" w:hAnsi="宋体" w:eastAsia="宋体" w:cs="宋体"/>
          <w:b/>
          <w:bCs/>
          <w:color w:val="auto"/>
          <w:sz w:val="21"/>
          <w:szCs w:val="21"/>
        </w:rPr>
        <w:t>1、金融工具产生的各类风险</w:t>
      </w:r>
      <w:bookmarkEnd w:id="351"/>
    </w:p>
    <w:p w14:paraId="5849F7A2">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的主要金融工具包括货币资金、股权投资、债权投资、借款、应收款项、应付款项及可转换债券等。在日常活动中面临各种金融工具的风险，主要包括信用风险、流动性风险、市场风险。与这些金融工具相关的风险，以及本公司为降低这些风险所采取的风险管理政策如下所述：</w:t>
      </w:r>
    </w:p>
    <w:p w14:paraId="1C638528">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董事会负责规划并建立本公司的风险管理架构，制定本公司的风险管理政策和相关指引并监督风险管理措施的执行情况。本公司已制定风险管理政策以识别和分析本公司所面临的风险，这些风险管理政策对特定风险进行了明确规定，涵盖了市场风险、信用风险和流动性风险管理等诸多方面。本公司定期评估市场环境及本公司经营活动的变化以决定是否对风险管理政策及系统进行更新。本公司的风险管理由风险管理委员会按照董事会批准的政策开展。风险管理委员会通过与本公司其他业务部门的紧密合作来识别、评价和规避相关风险。本公司内部审计部门就风险管理控制及程序进行定期的审核，并将审核结果上报本公司的审计委员会。本公司通过适当的多样化投资及业务组合来分散金融工具风险，并通过制定相应的风险管理政策减少集中于单一行业、特定地区或特定交易对手的风险。</w:t>
      </w:r>
    </w:p>
    <w:p w14:paraId="04312E56">
      <w:pPr>
        <w:pStyle w:val="4"/>
        <w:keepNext w:val="0"/>
        <w:keepLines w:val="0"/>
        <w:widowControl/>
        <w:suppressLineNumbers w:val="0"/>
        <w:ind w:left="845"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（一）信用风险</w:t>
      </w:r>
    </w:p>
    <w:p w14:paraId="363A71B9">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信用风险是指交易对手未能履行合同义务而导致本公司产生财务损失的风险，管理层已制定适当的信用政策，并且不断监察信用风险的敞口。</w:t>
      </w:r>
    </w:p>
    <w:p w14:paraId="114DBE0D">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已采取政策只与信用良好的交易对手进行交易。另外，本公司基于对客户的财务状况、从第三方获取担保的可能性、信用记录及其它因素诸如目前市场状况等评估客户的信用资质并设置相应信用期。本公司对应收票据、应收账款余额及收回情况进行持续监控，对于信用记录不良的客户，本公司会采用书面催款、缩短信用期或取消信用期等方式，以确保本公司不致面临重大信用损失。此外，本公司于每个资产负债表日审核金融资产的回收情况，以确保相关金融资产计提了充分的预期信用损失准备。</w:t>
      </w:r>
    </w:p>
    <w:p w14:paraId="4379C9F0">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其他金融资产包括货币资金、应收账款、应收款项融资、其他应收款等，这些金融资产的信用风险源自于交易对手违约，最大信用风险敞口为资产负债表中每项金融资产的账面金额。本公司没有提供任何其他可能令本公司承受信用风险的担保。</w:t>
      </w:r>
    </w:p>
    <w:p w14:paraId="524F3C05">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持有的货币资金主要存放于国有控股银行和其他大中型商业银行等金融机构，管理层认为这些商业银行具备较高信誉和资产状况，不存在重大的信用风险，不会产生因对方单位违约而导致的任何重大损失。本公司的政策是根据各知名金融机构的市场信誉、经营规模及财务背景来控制存放当中的存款金额，以限制对任何单个金融机构的信用风险金额。</w:t>
      </w:r>
    </w:p>
    <w:p w14:paraId="74D59357">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作为本公司信用风险资产管理的一部分，本公司利用账龄来评估应收账款和其他应收款的减值损失。本公司的应收账款和其他应收款涉及大量客户，账龄信息可以反映这些客户对于应收账款和其他应收款的偿付能力和坏账风险。本公司根据历史数据计算不同账龄期间的历史实际坏账率，并考虑了当前及未来经济状况的预测，如国家GDP增速、基建投资总额、国家货币政策等前瞻性信息进行调整得出预期损失率。对于长期应收款，本公司综合考虑结算期、合同约定付款期、债务人的财务状况和债务人所处行业的经济形势，并考虑上述前瞻性信息进行调整后对于预期信用损失进行合理评估。</w:t>
      </w:r>
    </w:p>
    <w:p w14:paraId="3426A492">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截止2025年6月30日，相关资产的账面余额与预期信用减值损失情况如下：</w:t>
      </w:r>
    </w:p>
    <w:tbl>
      <w:tblPr>
        <w:tblStyle w:val="5"/>
        <w:tblW w:w="89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139"/>
        <w:gridCol w:w="3393"/>
        <w:gridCol w:w="3393"/>
      </w:tblGrid>
      <w:tr w14:paraId="78B5F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1910" w:type="dxa"/>
            <w:tcBorders>
              <w:top w:val="single" w:color="000000" w:sz="8" w:space="0"/>
              <w:left w:val="single" w:color="000000" w:sz="8" w:space="0"/>
              <w:bottom w:val="single" w:color="000000" w:sz="8" w:space="0"/>
              <w:right w:val="single" w:color="000000" w:sz="8" w:space="0"/>
            </w:tcBorders>
            <w:shd w:val="clear" w:color="auto" w:fill="auto"/>
            <w:tcMar>
              <w:top w:w="10" w:type="dxa"/>
              <w:left w:w="10" w:type="dxa"/>
              <w:right w:w="10" w:type="dxa"/>
            </w:tcMar>
            <w:vAlign w:val="center"/>
          </w:tcPr>
          <w:p w14:paraId="2D5E23C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项目</w:t>
            </w:r>
          </w:p>
        </w:tc>
        <w:tc>
          <w:tcPr>
            <w:tcW w:w="202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61BD0CF1">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账面余额</w:t>
            </w:r>
          </w:p>
        </w:tc>
        <w:tc>
          <w:tcPr>
            <w:tcW w:w="202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5EE2118B">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减值准备</w:t>
            </w:r>
          </w:p>
        </w:tc>
      </w:tr>
      <w:tr w14:paraId="793BDC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1" w:hRule="atLeast"/>
        </w:trPr>
        <w:tc>
          <w:tcPr>
            <w:tcW w:w="191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538AE44A">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应收账款</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4BB9849E">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89,636,163.10</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8845DB4">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6,858,774.19</w:t>
            </w:r>
          </w:p>
        </w:tc>
      </w:tr>
      <w:tr w14:paraId="26163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191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34C22836">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应收款项融资</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457F7F7">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2,469,526.50</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F906F16">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r>
      <w:tr w14:paraId="121A2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1" w:hRule="atLeast"/>
        </w:trPr>
        <w:tc>
          <w:tcPr>
            <w:tcW w:w="191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2418E341">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其他应收款</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242E503">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1,924,478.69</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69A7A449">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532,279.93</w:t>
            </w:r>
          </w:p>
        </w:tc>
      </w:tr>
      <w:tr w14:paraId="2E419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191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6099C569">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合计</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6C9C7ACB">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94,030,168.29</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209C5D1">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7,391,054.12</w:t>
            </w:r>
          </w:p>
        </w:tc>
      </w:tr>
    </w:tbl>
    <w:p w14:paraId="60D60458">
      <w:pPr>
        <w:pStyle w:val="4"/>
        <w:keepNext w:val="0"/>
        <w:keepLines w:val="0"/>
        <w:widowControl/>
        <w:suppressLineNumbers w:val="0"/>
        <w:spacing w:line="360" w:lineRule="auto"/>
        <w:ind w:left="0" w:right="0" w:firstLine="392"/>
        <w:jc w:val="both"/>
        <w:rPr>
          <w:rFonts w:hint="default" w:ascii="Times New Roman" w:hAnsi="Times New Roman" w:cs="Times New Roman"/>
          <w:color w:val="auto"/>
          <w:sz w:val="24"/>
          <w:szCs w:val="24"/>
        </w:rPr>
      </w:pPr>
      <w:r>
        <w:rPr>
          <w:rFonts w:hint="eastAsia" w:ascii="宋体" w:hAnsi="宋体" w:eastAsia="宋体" w:cs="宋体"/>
          <w:color w:val="auto"/>
          <w:spacing w:val="-7"/>
          <w:sz w:val="21"/>
          <w:szCs w:val="21"/>
        </w:rPr>
        <w:t>本公司的主要客户为大型医药集团公司等，该等客户具有可靠及良好的信誉，因此，本</w:t>
      </w:r>
      <w:r>
        <w:rPr>
          <w:rFonts w:hint="eastAsia" w:ascii="宋体" w:hAnsi="宋体" w:eastAsia="宋体" w:cs="宋体"/>
          <w:color w:val="auto"/>
          <w:spacing w:val="-10"/>
          <w:sz w:val="21"/>
          <w:szCs w:val="21"/>
        </w:rPr>
        <w:t>公司认为该等客户并无重大信用风险</w:t>
      </w:r>
      <w:r>
        <w:rPr>
          <w:rFonts w:hint="eastAsia" w:ascii="宋体" w:hAnsi="宋体" w:eastAsia="宋体" w:cs="宋体"/>
          <w:color w:val="auto"/>
          <w:sz w:val="21"/>
          <w:szCs w:val="21"/>
        </w:rPr>
        <w:t>。由于本公司的客户广泛，因此没有重大的信用集中风险。</w:t>
      </w:r>
    </w:p>
    <w:p w14:paraId="00E48673">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由于本公司的应收账款风险点分布于多个合作方和多个客户，截至2025年6月30日，本公司不存在重大的信用集中风险。</w:t>
      </w:r>
    </w:p>
    <w:p w14:paraId="082FFDC6">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本公司所承受的最大信用风险敞口为资产负债表中每项金融资产的账面价值。</w:t>
      </w:r>
    </w:p>
    <w:p w14:paraId="6811CD7D">
      <w:pPr>
        <w:pStyle w:val="4"/>
        <w:keepNext w:val="0"/>
        <w:keepLines w:val="0"/>
        <w:widowControl/>
        <w:suppressLineNumbers w:val="0"/>
        <w:ind w:left="0"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（二）流动性风险</w:t>
      </w:r>
    </w:p>
    <w:p w14:paraId="2F6DE19C">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流动性风险是指本公司在履行以交付现金或其他金融资产的方式结算的义务时发生资金短缺的风险。本公司下属成员企业各自负责其现金流量预测。公司下属财务部门基于各成员企业的现金流量预测结果，在公司层面持续监控公司短期和长期的资金需求，以确保维持充裕的现金储备；同时持续监控是否符合借款协议的规定，从主要金融机构获得提供足够备用资金的承诺，以满足短期和长期的资金需求。此外，本公司与主要业务往来银行订立融资额度授信协议，为本公司履行与商业票据相关的义务提供支持。截止2025年6月30日，本公司已拥有国内多家银行提供的银行授信额度，金额57,580.00万元，其中：已使用授信金额为46,716.31万元。</w:t>
      </w:r>
    </w:p>
    <w:p w14:paraId="639F21F4">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截止2025年6月30日，本公司金融负债和表外担保项目以未折现的合同现金流量按合同剩余期限列示如下：</w:t>
      </w:r>
    </w:p>
    <w:tbl>
      <w:tblPr>
        <w:tblStyle w:val="5"/>
        <w:tblW w:w="95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332"/>
        <w:gridCol w:w="1680"/>
        <w:gridCol w:w="1820"/>
        <w:gridCol w:w="1700"/>
        <w:gridCol w:w="2050"/>
      </w:tblGrid>
      <w:tr w14:paraId="18323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2332" w:type="dxa"/>
            <w:vMerge w:val="restart"/>
            <w:tcBorders>
              <w:top w:val="single" w:color="000000" w:sz="8" w:space="0"/>
              <w:left w:val="single" w:color="000000" w:sz="8" w:space="0"/>
              <w:bottom w:val="single" w:color="000000" w:sz="8" w:space="0"/>
              <w:right w:val="single" w:color="000000" w:sz="8" w:space="0"/>
            </w:tcBorders>
            <w:shd w:val="clear" w:color="auto" w:fill="auto"/>
            <w:tcMar>
              <w:top w:w="10" w:type="dxa"/>
              <w:left w:w="10" w:type="dxa"/>
              <w:right w:w="10" w:type="dxa"/>
            </w:tcMar>
            <w:vAlign w:val="center"/>
          </w:tcPr>
          <w:p w14:paraId="4E5FA526">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项目</w:t>
            </w:r>
          </w:p>
        </w:tc>
        <w:tc>
          <w:tcPr>
            <w:tcW w:w="7250" w:type="dxa"/>
            <w:gridSpan w:val="4"/>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7F090B98">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期末余额</w:t>
            </w:r>
          </w:p>
        </w:tc>
      </w:tr>
      <w:tr w14:paraId="0FD6C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2332" w:type="dxa"/>
            <w:vMerge w:val="continue"/>
            <w:tcBorders>
              <w:top w:val="single" w:color="000000" w:sz="8" w:space="0"/>
              <w:left w:val="single" w:color="000000" w:sz="8" w:space="0"/>
              <w:bottom w:val="single" w:color="000000" w:sz="8" w:space="0"/>
              <w:right w:val="single" w:color="000000" w:sz="8" w:space="0"/>
            </w:tcBorders>
            <w:shd w:val="clear" w:color="auto" w:fill="auto"/>
            <w:tcMar>
              <w:top w:w="10" w:type="dxa"/>
              <w:left w:w="10" w:type="dxa"/>
              <w:right w:w="10" w:type="dxa"/>
            </w:tcMar>
            <w:vAlign w:val="center"/>
          </w:tcPr>
          <w:p w14:paraId="3C6E571B">
            <w:pPr>
              <w:jc w:val="center"/>
              <w:rPr>
                <w:rFonts w:hint="eastAsia" w:ascii="宋体" w:hAnsi="宋体" w:eastAsia="宋体" w:cs="宋体"/>
                <w:i w:val="0"/>
                <w:iCs w:val="0"/>
                <w:color w:val="auto"/>
                <w:sz w:val="21"/>
                <w:szCs w:val="21"/>
                <w:u w:val="none"/>
              </w:rPr>
            </w:pPr>
          </w:p>
        </w:tc>
        <w:tc>
          <w:tcPr>
            <w:tcW w:w="168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566D1347">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即时偿还</w:t>
            </w:r>
          </w:p>
        </w:tc>
        <w:tc>
          <w:tcPr>
            <w:tcW w:w="18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F8BFB4A">
            <w:pPr>
              <w:keepNext w:val="0"/>
              <w:keepLines w:val="0"/>
              <w:widowControl/>
              <w:suppressLineNumbers w:val="0"/>
              <w:jc w:val="center"/>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年以内</w:t>
            </w:r>
          </w:p>
        </w:tc>
        <w:tc>
          <w:tcPr>
            <w:tcW w:w="17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CAE102E">
            <w:pPr>
              <w:keepNext w:val="0"/>
              <w:keepLines w:val="0"/>
              <w:widowControl/>
              <w:suppressLineNumbers w:val="0"/>
              <w:jc w:val="center"/>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宋体" w:hAnsi="宋体" w:eastAsia="宋体" w:cs="宋体"/>
                <w:i w:val="0"/>
                <w:iCs w:val="0"/>
                <w:color w:val="auto"/>
                <w:kern w:val="0"/>
                <w:sz w:val="21"/>
                <w:szCs w:val="21"/>
                <w:u w:val="none"/>
                <w:lang w:val="en-US" w:eastAsia="zh-CN" w:bidi="ar"/>
              </w:rPr>
              <w:t>年以上</w:t>
            </w:r>
          </w:p>
        </w:tc>
        <w:tc>
          <w:tcPr>
            <w:tcW w:w="205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1861B5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合计</w:t>
            </w:r>
          </w:p>
        </w:tc>
      </w:tr>
      <w:tr w14:paraId="5A56BC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33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6D3DB2A1">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非衍生金融负债</w:t>
            </w:r>
          </w:p>
        </w:tc>
        <w:tc>
          <w:tcPr>
            <w:tcW w:w="16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6CF0B397">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18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012BDEF9">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17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62406E1">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205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42A4E78">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   </w:t>
            </w:r>
          </w:p>
        </w:tc>
      </w:tr>
      <w:tr w14:paraId="4DC9F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33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588DC032">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短期借款</w:t>
            </w:r>
          </w:p>
        </w:tc>
        <w:tc>
          <w:tcPr>
            <w:tcW w:w="16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1605D5B">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18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13CB8EE">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153,021,399.03 </w:t>
            </w:r>
          </w:p>
        </w:tc>
        <w:tc>
          <w:tcPr>
            <w:tcW w:w="17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1DD9BB2">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205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4AFCBF3">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153,021,399.03 </w:t>
            </w:r>
          </w:p>
        </w:tc>
      </w:tr>
      <w:tr w14:paraId="7F35B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33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0030436B">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应付账款</w:t>
            </w:r>
          </w:p>
        </w:tc>
        <w:tc>
          <w:tcPr>
            <w:tcW w:w="16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91CA430">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18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4BDB4931">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221,856,932.03 </w:t>
            </w:r>
          </w:p>
        </w:tc>
        <w:tc>
          <w:tcPr>
            <w:tcW w:w="17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CCD37FE">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205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FB7F4D0">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221,856,932.03 </w:t>
            </w:r>
          </w:p>
        </w:tc>
      </w:tr>
      <w:tr w14:paraId="0AFF9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33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7CF5953B">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其他应付款</w:t>
            </w:r>
          </w:p>
        </w:tc>
        <w:tc>
          <w:tcPr>
            <w:tcW w:w="16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1AFFDBF">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18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4681B663">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38,873,741.70 </w:t>
            </w:r>
          </w:p>
        </w:tc>
        <w:tc>
          <w:tcPr>
            <w:tcW w:w="17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0388C5A">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205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4CED8A80">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38,873,741.70 </w:t>
            </w:r>
          </w:p>
        </w:tc>
      </w:tr>
      <w:tr w14:paraId="4D49A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33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1812601F">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一年内到期的非流动负债</w:t>
            </w:r>
          </w:p>
        </w:tc>
        <w:tc>
          <w:tcPr>
            <w:tcW w:w="16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0F4ACC2D">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18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F626940">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132,525,212.33 </w:t>
            </w:r>
          </w:p>
        </w:tc>
        <w:tc>
          <w:tcPr>
            <w:tcW w:w="17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53587BB">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205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63C002DE">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132,525,212.33 </w:t>
            </w:r>
          </w:p>
        </w:tc>
      </w:tr>
      <w:tr w14:paraId="127F7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33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4DA9B2F4">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长期借款</w:t>
            </w:r>
          </w:p>
        </w:tc>
        <w:tc>
          <w:tcPr>
            <w:tcW w:w="16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43A4B527">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18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A192485">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5,385,659.86 </w:t>
            </w:r>
          </w:p>
        </w:tc>
        <w:tc>
          <w:tcPr>
            <w:tcW w:w="17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49E08BA5">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143,267,595.27 </w:t>
            </w:r>
          </w:p>
        </w:tc>
        <w:tc>
          <w:tcPr>
            <w:tcW w:w="205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2EDDA84">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148,653,255.13 </w:t>
            </w:r>
          </w:p>
        </w:tc>
      </w:tr>
      <w:tr w14:paraId="76C18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33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381B2FA7">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其他非流动负债</w:t>
            </w:r>
          </w:p>
        </w:tc>
        <w:tc>
          <w:tcPr>
            <w:tcW w:w="16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F8D98D1">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18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F8A804B">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273,451,628.62 </w:t>
            </w:r>
          </w:p>
        </w:tc>
        <w:tc>
          <w:tcPr>
            <w:tcW w:w="17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859A98B">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w:t>
            </w:r>
          </w:p>
        </w:tc>
        <w:tc>
          <w:tcPr>
            <w:tcW w:w="205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5A3B1D7">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273,451,628.62 </w:t>
            </w:r>
          </w:p>
        </w:tc>
      </w:tr>
      <w:tr w14:paraId="527FF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332"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46B89167">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合计</w:t>
            </w:r>
          </w:p>
        </w:tc>
        <w:tc>
          <w:tcPr>
            <w:tcW w:w="16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95B2004">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   </w:t>
            </w:r>
          </w:p>
        </w:tc>
        <w:tc>
          <w:tcPr>
            <w:tcW w:w="18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6E2CF962">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825,114,573.57 </w:t>
            </w:r>
          </w:p>
        </w:tc>
        <w:tc>
          <w:tcPr>
            <w:tcW w:w="170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B194BC8">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143,267,595.27 </w:t>
            </w:r>
          </w:p>
        </w:tc>
        <w:tc>
          <w:tcPr>
            <w:tcW w:w="205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3116BDF">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 968,382,168.84 </w:t>
            </w:r>
          </w:p>
        </w:tc>
      </w:tr>
    </w:tbl>
    <w:p w14:paraId="59BEE5F5">
      <w:pPr>
        <w:pStyle w:val="4"/>
        <w:keepNext w:val="0"/>
        <w:keepLines w:val="0"/>
        <w:widowControl/>
        <w:suppressLineNumbers w:val="0"/>
        <w:spacing w:before="156" w:beforeAutospacing="0" w:after="0" w:afterAutospacing="0"/>
        <w:ind w:left="405" w:right="0"/>
        <w:jc w:val="both"/>
        <w:rPr>
          <w:rFonts w:hint="default" w:ascii="Times New Roman" w:hAnsi="Times New Roman" w:cs="Times New Roman"/>
          <w:color w:val="auto"/>
          <w:sz w:val="24"/>
          <w:szCs w:val="24"/>
        </w:rPr>
      </w:pPr>
      <w:r>
        <w:rPr>
          <w:rFonts w:hint="eastAsia" w:ascii="宋体" w:hAnsi="宋体" w:eastAsia="宋体" w:cs="宋体"/>
          <w:color w:val="auto"/>
          <w:sz w:val="18"/>
          <w:szCs w:val="18"/>
        </w:rPr>
        <w:t>（三）市场风险</w:t>
      </w:r>
    </w:p>
    <w:p w14:paraId="26455E1A">
      <w:pPr>
        <w:pStyle w:val="4"/>
        <w:keepNext w:val="0"/>
        <w:keepLines w:val="0"/>
        <w:widowControl/>
        <w:suppressLineNumbers w:val="0"/>
        <w:spacing w:line="360" w:lineRule="auto"/>
        <w:ind w:left="420" w:right="0"/>
        <w:jc w:val="both"/>
        <w:rPr>
          <w:rFonts w:hint="default" w:ascii="Times New Roman" w:hAnsi="Times New Roman" w:cs="Times New Roman"/>
          <w:color w:val="auto"/>
          <w:sz w:val="24"/>
          <w:szCs w:val="24"/>
        </w:rPr>
      </w:pPr>
      <w:r>
        <w:rPr>
          <w:rStyle w:val="7"/>
          <w:rFonts w:hint="eastAsia" w:ascii="宋体" w:hAnsi="宋体" w:eastAsia="宋体" w:cs="宋体"/>
          <w:color w:val="auto"/>
          <w:sz w:val="21"/>
          <w:szCs w:val="21"/>
        </w:rPr>
        <w:t>1、汇率风险</w:t>
      </w:r>
    </w:p>
    <w:p w14:paraId="5C049E36">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本公司的主要经营位于中国境内，主要业务以人民币结算。</w:t>
      </w:r>
    </w:p>
    <w:p w14:paraId="57E5ED6D">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截止2025年6月30日，本公司持有的外币金融资产和外币金融负债折算成人民币的金额列示如下：</w:t>
      </w:r>
    </w:p>
    <w:tbl>
      <w:tblPr>
        <w:tblStyle w:val="5"/>
        <w:tblW w:w="89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139"/>
        <w:gridCol w:w="3393"/>
        <w:gridCol w:w="3393"/>
      </w:tblGrid>
      <w:tr w14:paraId="41B3C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1910" w:type="dxa"/>
            <w:vMerge w:val="restart"/>
            <w:tcBorders>
              <w:top w:val="single" w:color="000000" w:sz="8" w:space="0"/>
              <w:left w:val="single" w:color="000000" w:sz="8" w:space="0"/>
              <w:bottom w:val="single" w:color="000000" w:sz="8" w:space="0"/>
              <w:right w:val="single" w:color="000000" w:sz="8" w:space="0"/>
            </w:tcBorders>
            <w:shd w:val="clear" w:color="auto" w:fill="auto"/>
            <w:tcMar>
              <w:top w:w="10" w:type="dxa"/>
              <w:left w:w="10" w:type="dxa"/>
              <w:right w:w="10" w:type="dxa"/>
            </w:tcMar>
            <w:vAlign w:val="center"/>
          </w:tcPr>
          <w:p w14:paraId="500B8645">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项目</w:t>
            </w:r>
          </w:p>
        </w:tc>
        <w:tc>
          <w:tcPr>
            <w:tcW w:w="4040" w:type="dxa"/>
            <w:gridSpan w:val="2"/>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19EA63E2">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期末余额</w:t>
            </w:r>
          </w:p>
        </w:tc>
      </w:tr>
      <w:tr w14:paraId="15B9A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5" w:hRule="atLeast"/>
        </w:trPr>
        <w:tc>
          <w:tcPr>
            <w:tcW w:w="1910" w:type="dxa"/>
            <w:vMerge w:val="continue"/>
            <w:tcBorders>
              <w:top w:val="single" w:color="000000" w:sz="8" w:space="0"/>
              <w:left w:val="single" w:color="000000" w:sz="8" w:space="0"/>
              <w:bottom w:val="single" w:color="000000" w:sz="8" w:space="0"/>
              <w:right w:val="single" w:color="000000" w:sz="8" w:space="0"/>
            </w:tcBorders>
            <w:shd w:val="clear" w:color="auto" w:fill="auto"/>
            <w:tcMar>
              <w:top w:w="10" w:type="dxa"/>
              <w:left w:w="10" w:type="dxa"/>
              <w:right w:w="10" w:type="dxa"/>
            </w:tcMar>
            <w:vAlign w:val="center"/>
          </w:tcPr>
          <w:p w14:paraId="42C4CA89">
            <w:pPr>
              <w:jc w:val="center"/>
              <w:rPr>
                <w:rFonts w:hint="eastAsia" w:ascii="宋体" w:hAnsi="宋体" w:eastAsia="宋体" w:cs="宋体"/>
                <w:i w:val="0"/>
                <w:iCs w:val="0"/>
                <w:color w:val="auto"/>
                <w:sz w:val="21"/>
                <w:szCs w:val="21"/>
                <w:u w:val="none"/>
              </w:rPr>
            </w:pPr>
          </w:p>
        </w:tc>
        <w:tc>
          <w:tcPr>
            <w:tcW w:w="202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398F32B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美元项目</w:t>
            </w:r>
          </w:p>
        </w:tc>
        <w:tc>
          <w:tcPr>
            <w:tcW w:w="202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7882483">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合计</w:t>
            </w:r>
          </w:p>
        </w:tc>
      </w:tr>
      <w:tr w14:paraId="5CB94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191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7ED59FA6">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外币金融资产：</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078640F0">
            <w:pPr>
              <w:keepNext w:val="0"/>
              <w:keepLines w:val="0"/>
              <w:widowControl/>
              <w:suppressLineNumbers w:val="0"/>
              <w:jc w:val="right"/>
              <w:textAlignment w:val="center"/>
              <w:rPr>
                <w:rFonts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34,083.09</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65E3037">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34,083.09</w:t>
            </w:r>
          </w:p>
        </w:tc>
      </w:tr>
      <w:tr w14:paraId="3F418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1910"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7EA0654B">
            <w:pPr>
              <w:keepNext w:val="0"/>
              <w:keepLines w:val="0"/>
              <w:widowControl/>
              <w:suppressLineNumbers w:val="0"/>
              <w:jc w:val="both"/>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货币资金</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B94DACE">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34,083.09</w:t>
            </w:r>
          </w:p>
        </w:tc>
        <w:tc>
          <w:tcPr>
            <w:tcW w:w="303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7F992B7">
            <w:pPr>
              <w:keepNext w:val="0"/>
              <w:keepLines w:val="0"/>
              <w:widowControl/>
              <w:suppressLineNumbers w:val="0"/>
              <w:jc w:val="right"/>
              <w:textAlignment w:val="center"/>
              <w:rPr>
                <w:rFonts w:hint="default" w:ascii="Times New Roman" w:hAnsi="Times New Roman"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34,083.09</w:t>
            </w:r>
          </w:p>
        </w:tc>
      </w:tr>
    </w:tbl>
    <w:p w14:paraId="7D931291">
      <w:pPr>
        <w:pStyle w:val="4"/>
        <w:keepNext w:val="0"/>
        <w:keepLines w:val="0"/>
        <w:widowControl/>
        <w:suppressLineNumbers w:val="0"/>
        <w:spacing w:before="0" w:beforeAutospacing="0" w:after="0" w:afterAutospacing="0" w:line="400" w:lineRule="atLeast"/>
        <w:ind w:left="0" w:right="0" w:firstLine="420"/>
        <w:jc w:val="both"/>
        <w:rPr>
          <w:rFonts w:hint="eastAsia" w:ascii="宋体" w:hAnsi="宋体" w:eastAsia="宋体" w:cs="宋体"/>
          <w:color w:val="auto"/>
          <w:sz w:val="24"/>
          <w:szCs w:val="24"/>
        </w:rPr>
      </w:pPr>
      <w:r>
        <w:rPr>
          <w:rFonts w:hint="eastAsia" w:ascii="宋体" w:hAnsi="宋体" w:eastAsia="宋体" w:cs="宋体"/>
          <w:color w:val="auto"/>
          <w:sz w:val="21"/>
          <w:szCs w:val="21"/>
        </w:rPr>
        <w:t>2、利率风险</w:t>
      </w:r>
    </w:p>
    <w:p w14:paraId="2D9DDFDB">
      <w:pPr>
        <w:pStyle w:val="4"/>
        <w:keepNext w:val="0"/>
        <w:keepLines w:val="0"/>
        <w:widowControl/>
        <w:suppressLineNumbers w:val="0"/>
        <w:spacing w:before="0" w:beforeAutospacing="0" w:after="0" w:afterAutospacing="0" w:line="400" w:lineRule="atLeast"/>
        <w:ind w:left="0" w:right="0" w:firstLine="420"/>
        <w:jc w:val="both"/>
        <w:rPr>
          <w:rFonts w:hint="eastAsia" w:ascii="宋体" w:hAnsi="宋体" w:eastAsia="宋体" w:cs="宋体"/>
          <w:color w:val="auto"/>
          <w:sz w:val="24"/>
          <w:szCs w:val="24"/>
        </w:rPr>
      </w:pPr>
      <w:r>
        <w:rPr>
          <w:rFonts w:hint="eastAsia" w:ascii="宋体" w:hAnsi="宋体" w:eastAsia="宋体" w:cs="宋体"/>
          <w:color w:val="auto"/>
          <w:sz w:val="21"/>
          <w:szCs w:val="21"/>
        </w:rPr>
        <w:t>本公司的利率风险主要产生于银行借款。浮动利率的金融负债使本公司面临现金流量利率风险，固定利率的金融负债使本公司面临公允价值利率风险。本公司根据当时的市场环境来决定固定利率及浮动利率合同的相对比例。</w:t>
      </w:r>
    </w:p>
    <w:p w14:paraId="65BF20C8">
      <w:pPr>
        <w:pStyle w:val="4"/>
        <w:keepNext w:val="0"/>
        <w:keepLines w:val="0"/>
        <w:widowControl/>
        <w:suppressLineNumbers w:val="0"/>
        <w:spacing w:before="0" w:beforeAutospacing="0" w:after="0" w:afterAutospacing="0" w:line="400" w:lineRule="atLeast"/>
        <w:ind w:left="0" w:right="0" w:firstLine="420"/>
        <w:jc w:val="both"/>
        <w:rPr>
          <w:rFonts w:hint="eastAsia" w:ascii="宋体" w:hAnsi="宋体" w:eastAsia="宋体" w:cs="宋体"/>
          <w:color w:val="auto"/>
          <w:sz w:val="24"/>
          <w:szCs w:val="24"/>
        </w:rPr>
      </w:pPr>
      <w:r>
        <w:rPr>
          <w:rFonts w:hint="eastAsia" w:ascii="宋体" w:hAnsi="宋体" w:eastAsia="宋体" w:cs="宋体"/>
          <w:color w:val="auto"/>
          <w:sz w:val="21"/>
          <w:szCs w:val="21"/>
        </w:rPr>
        <w:t>本公司财务部门持续监控公司利率水平。利率上升会增加新增带息债务的成本以及本公司尚未付清的以浮动利率计息的带息债务的利息支出，并对本公司的财务业绩产生重大的不利影响，管理层会依据最新的市场状况及时做出调整。</w:t>
      </w:r>
    </w:p>
    <w:p w14:paraId="725A0AAB">
      <w:pPr>
        <w:pStyle w:val="4"/>
        <w:keepNext w:val="0"/>
        <w:keepLines w:val="0"/>
        <w:widowControl/>
        <w:suppressLineNumbers w:val="0"/>
        <w:spacing w:before="0" w:beforeAutospacing="0" w:after="0" w:afterAutospacing="0" w:line="400" w:lineRule="atLeast"/>
        <w:ind w:left="0" w:right="0" w:firstLine="420"/>
        <w:jc w:val="both"/>
        <w:rPr>
          <w:rFonts w:hint="eastAsia" w:ascii="宋体" w:hAnsi="宋体" w:eastAsia="宋体" w:cs="宋体"/>
          <w:color w:val="auto"/>
          <w:sz w:val="24"/>
          <w:szCs w:val="24"/>
        </w:rPr>
      </w:pPr>
      <w:r>
        <w:rPr>
          <w:rFonts w:hint="eastAsia" w:ascii="宋体" w:hAnsi="宋体" w:eastAsia="宋体" w:cs="宋体"/>
          <w:color w:val="auto"/>
          <w:sz w:val="21"/>
          <w:szCs w:val="21"/>
        </w:rPr>
        <w:t>截止</w:t>
      </w:r>
      <w:r>
        <w:rPr>
          <w:rFonts w:hint="default" w:ascii="Times New Roman" w:hAnsi="Times New Roman" w:eastAsia="宋体" w:cs="Times New Roman"/>
          <w:color w:val="auto"/>
          <w:sz w:val="21"/>
          <w:szCs w:val="21"/>
        </w:rPr>
        <w:t>2025</w:t>
      </w:r>
      <w:r>
        <w:rPr>
          <w:rFonts w:hint="eastAsia" w:ascii="宋体" w:hAnsi="宋体" w:eastAsia="宋体" w:cs="宋体"/>
          <w:color w:val="auto"/>
          <w:sz w:val="21"/>
          <w:szCs w:val="21"/>
        </w:rPr>
        <w:t>年</w:t>
      </w:r>
      <w:r>
        <w:rPr>
          <w:rFonts w:hint="default" w:ascii="Times New Roman" w:hAnsi="Times New Roman" w:eastAsia="宋体" w:cs="Times New Roman"/>
          <w:color w:val="auto"/>
          <w:sz w:val="21"/>
          <w:szCs w:val="21"/>
        </w:rPr>
        <w:t>6</w:t>
      </w:r>
      <w:r>
        <w:rPr>
          <w:rFonts w:hint="eastAsia" w:ascii="宋体" w:hAnsi="宋体" w:eastAsia="宋体" w:cs="宋体"/>
          <w:color w:val="auto"/>
          <w:sz w:val="21"/>
          <w:szCs w:val="21"/>
        </w:rPr>
        <w:t>月</w:t>
      </w:r>
      <w:r>
        <w:rPr>
          <w:rFonts w:hint="default" w:ascii="Times New Roman" w:hAnsi="Times New Roman" w:eastAsia="宋体" w:cs="Times New Roman"/>
          <w:color w:val="auto"/>
          <w:sz w:val="21"/>
          <w:szCs w:val="21"/>
        </w:rPr>
        <w:t>30</w:t>
      </w:r>
      <w:r>
        <w:rPr>
          <w:rFonts w:hint="eastAsia" w:ascii="宋体" w:hAnsi="宋体" w:eastAsia="宋体" w:cs="宋体"/>
          <w:color w:val="auto"/>
          <w:sz w:val="21"/>
          <w:szCs w:val="21"/>
        </w:rPr>
        <w:t>日，本公司长期带息债务均为人民币计价的浮动利率合同，金额为</w:t>
      </w:r>
      <w:r>
        <w:rPr>
          <w:rFonts w:hint="default" w:ascii="Times New Roman" w:hAnsi="Times New Roman" w:eastAsia="宋体" w:cs="Times New Roman"/>
          <w:color w:val="auto"/>
          <w:sz w:val="21"/>
          <w:szCs w:val="21"/>
        </w:rPr>
        <w:t>26,807.13</w:t>
      </w:r>
      <w:r>
        <w:rPr>
          <w:rFonts w:hint="eastAsia" w:ascii="宋体" w:hAnsi="宋体" w:eastAsia="宋体" w:cs="宋体"/>
          <w:color w:val="auto"/>
          <w:sz w:val="21"/>
          <w:szCs w:val="21"/>
        </w:rPr>
        <w:t>万元，详见附注七、注释</w:t>
      </w:r>
      <w:r>
        <w:rPr>
          <w:rFonts w:hint="default" w:ascii="Times New Roman" w:hAnsi="Times New Roman" w:eastAsia="宋体" w:cs="Times New Roman"/>
          <w:color w:val="auto"/>
          <w:sz w:val="21"/>
          <w:szCs w:val="21"/>
        </w:rPr>
        <w:t>45</w:t>
      </w:r>
      <w:r>
        <w:rPr>
          <w:rFonts w:hint="eastAsia" w:ascii="宋体" w:hAnsi="宋体" w:eastAsia="宋体" w:cs="宋体"/>
          <w:color w:val="auto"/>
          <w:sz w:val="21"/>
          <w:szCs w:val="21"/>
        </w:rPr>
        <w:t>；短期借款中基本为固定利率合同，浮动利率合同金额为</w:t>
      </w:r>
      <w:r>
        <w:rPr>
          <w:rFonts w:hint="default" w:ascii="Times New Roman" w:hAnsi="Times New Roman" w:eastAsia="宋体" w:cs="Times New Roman"/>
          <w:color w:val="auto"/>
          <w:sz w:val="21"/>
          <w:szCs w:val="21"/>
        </w:rPr>
        <w:t>2,000</w:t>
      </w:r>
      <w:r>
        <w:rPr>
          <w:rFonts w:hint="eastAsia" w:ascii="宋体" w:hAnsi="宋体" w:eastAsia="宋体" w:cs="宋体"/>
          <w:color w:val="auto"/>
          <w:sz w:val="21"/>
          <w:szCs w:val="21"/>
        </w:rPr>
        <w:t>万元。</w:t>
      </w:r>
    </w:p>
    <w:p w14:paraId="618AF647">
      <w:pPr>
        <w:pStyle w:val="4"/>
        <w:keepNext w:val="0"/>
        <w:keepLines w:val="0"/>
        <w:widowControl/>
        <w:suppressLineNumbers w:val="0"/>
        <w:spacing w:before="0" w:beforeAutospacing="0" w:after="0" w:afterAutospacing="0" w:line="400" w:lineRule="atLeast"/>
        <w:ind w:left="0" w:right="0" w:firstLine="420"/>
        <w:jc w:val="both"/>
        <w:rPr>
          <w:rFonts w:hint="eastAsia" w:ascii="宋体" w:hAnsi="宋体" w:eastAsia="宋体" w:cs="宋体"/>
          <w:color w:val="auto"/>
          <w:sz w:val="24"/>
          <w:szCs w:val="24"/>
        </w:rPr>
      </w:pPr>
      <w:r>
        <w:rPr>
          <w:rFonts w:hint="eastAsia" w:ascii="宋体" w:hAnsi="宋体" w:eastAsia="宋体" w:cs="宋体"/>
          <w:color w:val="auto"/>
          <w:sz w:val="21"/>
          <w:szCs w:val="21"/>
        </w:rPr>
        <w:t>3、价格风险</w:t>
      </w:r>
    </w:p>
    <w:p w14:paraId="730CBB29">
      <w:pPr>
        <w:pStyle w:val="4"/>
        <w:keepNext w:val="0"/>
        <w:keepLines w:val="0"/>
        <w:widowControl/>
        <w:suppressLineNumbers w:val="0"/>
        <w:spacing w:before="0" w:beforeAutospacing="0" w:after="0" w:afterAutospacing="0" w:line="400" w:lineRule="atLeast"/>
        <w:ind w:left="0" w:right="0" w:firstLine="420"/>
        <w:jc w:val="both"/>
        <w:rPr>
          <w:rFonts w:hint="eastAsia" w:ascii="宋体" w:hAnsi="宋体" w:eastAsia="宋体" w:cs="宋体"/>
          <w:color w:val="auto"/>
          <w:sz w:val="24"/>
          <w:szCs w:val="24"/>
          <w:lang w:eastAsia="zh-CN"/>
        </w:rPr>
      </w:pPr>
      <w:r>
        <w:rPr>
          <w:rFonts w:hint="eastAsia" w:ascii="宋体" w:hAnsi="宋体" w:eastAsia="宋体" w:cs="宋体"/>
          <w:color w:val="auto"/>
          <w:sz w:val="21"/>
          <w:szCs w:val="21"/>
        </w:rPr>
        <w:t>价格风险指汇率风险和利率风险以外的市场价格变动而发生波动的风险，主要源于商品价格、股票市场指数、权益工具价格以及其他风险变量的变化。</w:t>
      </w:r>
    </w:p>
    <w:p w14:paraId="068CDCB2">
      <w:pPr>
        <w:keepNext/>
        <w:keepLines/>
        <w:spacing w:before="300" w:after="300" w:line="280" w:lineRule="exact"/>
        <w:jc w:val="left"/>
        <w:outlineLvl w:val="2"/>
        <w:rPr>
          <w:rFonts w:ascii="宋体" w:hAnsi="宋体" w:eastAsia="宋体" w:cs="宋体"/>
          <w:b/>
          <w:bCs/>
          <w:color w:val="auto"/>
          <w:sz w:val="21"/>
          <w:szCs w:val="21"/>
        </w:rPr>
      </w:pPr>
      <w:bookmarkStart w:id="352" w:name="_Toc989328"/>
      <w:r>
        <w:rPr>
          <w:rFonts w:ascii="宋体" w:hAnsi="宋体" w:eastAsia="宋体" w:cs="宋体"/>
          <w:b/>
          <w:bCs/>
          <w:color w:val="auto"/>
          <w:sz w:val="21"/>
          <w:szCs w:val="21"/>
        </w:rPr>
        <w:t>2、套期</w:t>
      </w:r>
      <w:bookmarkEnd w:id="352"/>
    </w:p>
    <w:p w14:paraId="1C135B73">
      <w:pPr>
        <w:keepNext/>
        <w:keepLines/>
        <w:spacing w:before="300" w:after="300" w:line="280" w:lineRule="exact"/>
        <w:jc w:val="left"/>
        <w:outlineLvl w:val="3"/>
        <w:rPr>
          <w:rFonts w:ascii="宋体" w:hAnsi="宋体" w:eastAsia="宋体" w:cs="宋体"/>
          <w:b/>
          <w:bCs/>
          <w:color w:val="auto"/>
          <w:sz w:val="18"/>
          <w:szCs w:val="18"/>
        </w:rPr>
      </w:pPr>
      <w:bookmarkStart w:id="353" w:name="_Toc989329"/>
      <w:r>
        <w:rPr>
          <w:rFonts w:ascii="宋体" w:hAnsi="宋体" w:eastAsia="宋体" w:cs="宋体"/>
          <w:b/>
          <w:bCs/>
          <w:color w:val="auto"/>
          <w:sz w:val="18"/>
          <w:szCs w:val="18"/>
        </w:rPr>
        <w:t>（1）公司开展套期业务进行风险管理</w:t>
      </w:r>
      <w:bookmarkEnd w:id="353"/>
    </w:p>
    <w:p w14:paraId="58CF91F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21E9C0D9">
      <w:pPr>
        <w:keepNext/>
        <w:keepLines/>
        <w:spacing w:before="300" w:after="300" w:line="280" w:lineRule="exact"/>
        <w:jc w:val="left"/>
        <w:outlineLvl w:val="3"/>
        <w:rPr>
          <w:rFonts w:ascii="宋体" w:hAnsi="宋体" w:eastAsia="宋体" w:cs="宋体"/>
          <w:b/>
          <w:bCs/>
          <w:color w:val="auto"/>
          <w:sz w:val="18"/>
          <w:szCs w:val="18"/>
        </w:rPr>
      </w:pPr>
      <w:bookmarkStart w:id="354" w:name="_Toc989330"/>
      <w:r>
        <w:rPr>
          <w:rFonts w:ascii="宋体" w:hAnsi="宋体" w:eastAsia="宋体" w:cs="宋体"/>
          <w:b/>
          <w:bCs/>
          <w:color w:val="auto"/>
          <w:sz w:val="18"/>
          <w:szCs w:val="18"/>
        </w:rPr>
        <w:t>（2）公司开展符合条件套期业务并应用套期会计</w:t>
      </w:r>
      <w:bookmarkEnd w:id="354"/>
    </w:p>
    <w:p w14:paraId="37F6CDA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7480BB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C06112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34DCB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与被套期项目以及套期工具相关账面价值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FEB67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已确认的被套期项目账面价值中所包含的被套期项目累计公允价值套期调整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4ED634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套期有效性和套期无效部分来源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1DD303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套期会计对公司的财务报表相关影响</w:t>
            </w:r>
          </w:p>
        </w:tc>
      </w:tr>
      <w:tr w14:paraId="1858AF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C52B69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套期风险类型</w:t>
            </w:r>
          </w:p>
        </w:tc>
      </w:tr>
      <w:tr w14:paraId="46AEF6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6D7567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套期类别</w:t>
            </w:r>
          </w:p>
        </w:tc>
      </w:tr>
    </w:tbl>
    <w:p w14:paraId="487F2F7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8A113F4">
      <w:pPr>
        <w:keepNext/>
        <w:keepLines/>
        <w:spacing w:before="300" w:after="300" w:line="280" w:lineRule="exact"/>
        <w:jc w:val="left"/>
        <w:outlineLvl w:val="3"/>
        <w:rPr>
          <w:rFonts w:ascii="宋体" w:hAnsi="宋体" w:eastAsia="宋体" w:cs="宋体"/>
          <w:b/>
          <w:bCs/>
          <w:color w:val="auto"/>
          <w:sz w:val="18"/>
          <w:szCs w:val="18"/>
        </w:rPr>
      </w:pPr>
      <w:bookmarkStart w:id="355" w:name="_Toc989331"/>
      <w:r>
        <w:rPr>
          <w:rFonts w:ascii="宋体" w:hAnsi="宋体" w:eastAsia="宋体" w:cs="宋体"/>
          <w:b/>
          <w:bCs/>
          <w:color w:val="auto"/>
          <w:sz w:val="18"/>
          <w:szCs w:val="18"/>
        </w:rPr>
        <w:t>（3）公司开展套期业务进行风险管理、预期能实现风险管理目标但未应用套期会计</w:t>
      </w:r>
      <w:bookmarkEnd w:id="355"/>
    </w:p>
    <w:p w14:paraId="3A06EC0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03203C8E">
      <w:pPr>
        <w:keepNext/>
        <w:keepLines/>
        <w:spacing w:before="300" w:after="300" w:line="280" w:lineRule="exact"/>
        <w:jc w:val="left"/>
        <w:outlineLvl w:val="2"/>
        <w:rPr>
          <w:rFonts w:ascii="宋体" w:hAnsi="宋体" w:eastAsia="宋体" w:cs="宋体"/>
          <w:b/>
          <w:bCs/>
          <w:color w:val="auto"/>
          <w:sz w:val="21"/>
          <w:szCs w:val="21"/>
        </w:rPr>
      </w:pPr>
      <w:bookmarkStart w:id="356" w:name="_Toc989332"/>
      <w:r>
        <w:rPr>
          <w:rFonts w:ascii="宋体" w:hAnsi="宋体" w:eastAsia="宋体" w:cs="宋体"/>
          <w:b/>
          <w:bCs/>
          <w:color w:val="auto"/>
          <w:sz w:val="21"/>
          <w:szCs w:val="21"/>
        </w:rPr>
        <w:t>3、金融资产</w:t>
      </w:r>
      <w:bookmarkEnd w:id="356"/>
    </w:p>
    <w:p w14:paraId="0DE6AD97">
      <w:pPr>
        <w:keepNext/>
        <w:keepLines/>
        <w:spacing w:before="300" w:after="300" w:line="280" w:lineRule="exact"/>
        <w:jc w:val="left"/>
        <w:outlineLvl w:val="3"/>
        <w:rPr>
          <w:rFonts w:ascii="宋体" w:hAnsi="宋体" w:eastAsia="宋体" w:cs="宋体"/>
          <w:b/>
          <w:bCs/>
          <w:color w:val="auto"/>
          <w:sz w:val="21"/>
          <w:szCs w:val="21"/>
        </w:rPr>
      </w:pPr>
      <w:bookmarkStart w:id="357" w:name="_Toc989333"/>
      <w:r>
        <w:rPr>
          <w:rFonts w:ascii="宋体" w:hAnsi="宋体" w:eastAsia="宋体" w:cs="宋体"/>
          <w:b/>
          <w:bCs/>
          <w:color w:val="auto"/>
          <w:sz w:val="21"/>
          <w:szCs w:val="21"/>
        </w:rPr>
        <w:t>（1）转移方式分类</w:t>
      </w:r>
      <w:bookmarkEnd w:id="357"/>
    </w:p>
    <w:p w14:paraId="4CF1C27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768E95F1">
      <w:pPr>
        <w:keepNext/>
        <w:keepLines/>
        <w:spacing w:before="300" w:after="300" w:line="280" w:lineRule="exact"/>
        <w:jc w:val="left"/>
        <w:outlineLvl w:val="3"/>
        <w:rPr>
          <w:rFonts w:ascii="宋体" w:hAnsi="宋体" w:eastAsia="宋体" w:cs="宋体"/>
          <w:b/>
          <w:bCs/>
          <w:color w:val="auto"/>
          <w:sz w:val="21"/>
          <w:szCs w:val="21"/>
        </w:rPr>
      </w:pPr>
      <w:bookmarkStart w:id="358" w:name="_Toc989334"/>
      <w:r>
        <w:rPr>
          <w:rFonts w:ascii="宋体" w:hAnsi="宋体" w:eastAsia="宋体" w:cs="宋体"/>
          <w:b/>
          <w:bCs/>
          <w:color w:val="auto"/>
          <w:sz w:val="21"/>
          <w:szCs w:val="21"/>
        </w:rPr>
        <w:t>（2）因转移而终止确认的金融资产</w:t>
      </w:r>
      <w:bookmarkEnd w:id="358"/>
    </w:p>
    <w:p w14:paraId="5471C15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2300310E">
      <w:pPr>
        <w:keepNext/>
        <w:keepLines/>
        <w:spacing w:before="300" w:after="300" w:line="280" w:lineRule="exact"/>
        <w:jc w:val="left"/>
        <w:outlineLvl w:val="3"/>
        <w:rPr>
          <w:rFonts w:ascii="宋体" w:hAnsi="宋体" w:eastAsia="宋体" w:cs="宋体"/>
          <w:b/>
          <w:bCs/>
          <w:color w:val="auto"/>
          <w:sz w:val="21"/>
          <w:szCs w:val="21"/>
        </w:rPr>
      </w:pPr>
      <w:bookmarkStart w:id="359" w:name="_Toc989335"/>
      <w:r>
        <w:rPr>
          <w:rFonts w:ascii="宋体" w:hAnsi="宋体" w:eastAsia="宋体" w:cs="宋体"/>
          <w:b/>
          <w:bCs/>
          <w:color w:val="auto"/>
          <w:sz w:val="21"/>
          <w:szCs w:val="21"/>
        </w:rPr>
        <w:t>（3）继续涉入的资产转移金融资产</w:t>
      </w:r>
      <w:bookmarkEnd w:id="359"/>
    </w:p>
    <w:p w14:paraId="2D85F9A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5B9CBEA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9AE1E26">
      <w:pPr>
        <w:keepNext/>
        <w:keepLines/>
        <w:spacing w:before="300" w:after="300" w:line="320" w:lineRule="exact"/>
        <w:jc w:val="left"/>
        <w:outlineLvl w:val="1"/>
        <w:rPr>
          <w:rFonts w:ascii="宋体" w:hAnsi="宋体" w:eastAsia="宋体" w:cs="宋体"/>
          <w:b/>
          <w:bCs/>
          <w:color w:val="auto"/>
          <w:sz w:val="24"/>
          <w:szCs w:val="24"/>
        </w:rPr>
      </w:pPr>
      <w:bookmarkStart w:id="360" w:name="_Toc989336"/>
      <w:r>
        <w:rPr>
          <w:rFonts w:ascii="宋体" w:hAnsi="宋体" w:eastAsia="宋体" w:cs="宋体"/>
          <w:b/>
          <w:bCs/>
          <w:color w:val="auto"/>
          <w:sz w:val="24"/>
          <w:szCs w:val="24"/>
        </w:rPr>
        <w:t>十三、公允价值的披露</w:t>
      </w:r>
      <w:bookmarkEnd w:id="360"/>
    </w:p>
    <w:p w14:paraId="5828E716">
      <w:pPr>
        <w:keepNext/>
        <w:keepLines/>
        <w:spacing w:before="300" w:after="300" w:line="280" w:lineRule="exact"/>
        <w:jc w:val="left"/>
        <w:outlineLvl w:val="2"/>
        <w:rPr>
          <w:rFonts w:ascii="宋体" w:hAnsi="宋体" w:eastAsia="宋体" w:cs="宋体"/>
          <w:b/>
          <w:bCs/>
          <w:color w:val="auto"/>
          <w:sz w:val="21"/>
          <w:szCs w:val="21"/>
        </w:rPr>
      </w:pPr>
      <w:bookmarkStart w:id="361" w:name="_Toc989337"/>
      <w:r>
        <w:rPr>
          <w:rFonts w:ascii="宋体" w:hAnsi="宋体" w:eastAsia="宋体" w:cs="宋体"/>
          <w:b/>
          <w:bCs/>
          <w:color w:val="auto"/>
          <w:sz w:val="21"/>
          <w:szCs w:val="21"/>
        </w:rPr>
        <w:t>1、以公允价值计量的资产和负债的期末公允价值</w:t>
      </w:r>
      <w:bookmarkEnd w:id="361"/>
    </w:p>
    <w:p w14:paraId="0F4101A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4CA23B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7F0C10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7711"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B93286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期末公允价值</w:t>
            </w:r>
          </w:p>
        </w:tc>
      </w:tr>
      <w:tr w14:paraId="5C8B4C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2299FFE">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AF4913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第一层次公允价值计量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61E546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第二层次公允价值计量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3603B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第三层次公允价值计量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2148C5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62361F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CEF37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一、持续的公允价值计量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A8728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9E5F7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36F65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1B5B67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w:t>
            </w:r>
          </w:p>
        </w:tc>
      </w:tr>
      <w:tr w14:paraId="64660A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6FC5213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应收款项融资</w:t>
            </w:r>
          </w:p>
        </w:tc>
        <w:tc>
          <w:tcPr>
            <w:tcW w:w="1928" w:type="dxa"/>
            <w:tcBorders>
              <w:top w:val="single" w:color="auto" w:sz="2" w:space="0"/>
              <w:left w:val="single" w:color="auto" w:sz="2" w:space="0"/>
              <w:bottom w:val="single" w:color="auto" w:sz="2" w:space="0"/>
              <w:right w:val="single" w:color="auto" w:sz="2" w:space="0"/>
            </w:tcBorders>
            <w:vAlign w:val="center"/>
          </w:tcPr>
          <w:p w14:paraId="14D45937">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1B1BEEC">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B5DBE8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2,469,526.50</w:t>
            </w:r>
          </w:p>
        </w:tc>
        <w:tc>
          <w:tcPr>
            <w:tcW w:w="1928" w:type="dxa"/>
            <w:tcBorders>
              <w:top w:val="single" w:color="auto" w:sz="2" w:space="0"/>
              <w:left w:val="single" w:color="auto" w:sz="2" w:space="0"/>
              <w:bottom w:val="single" w:color="auto" w:sz="2" w:space="0"/>
              <w:right w:val="single" w:color="auto" w:sz="2" w:space="0"/>
            </w:tcBorders>
            <w:vAlign w:val="center"/>
          </w:tcPr>
          <w:p w14:paraId="5C56B1F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2,469,526.50</w:t>
            </w:r>
          </w:p>
        </w:tc>
      </w:tr>
      <w:tr w14:paraId="2E661F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6B9BEC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二、非持续的公允价值计量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51BF5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AF3DF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DF2454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8B5583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w:t>
            </w:r>
          </w:p>
        </w:tc>
      </w:tr>
    </w:tbl>
    <w:p w14:paraId="3F336D05">
      <w:pPr>
        <w:keepNext/>
        <w:keepLines/>
        <w:spacing w:before="300" w:after="300" w:line="280" w:lineRule="exact"/>
        <w:jc w:val="left"/>
        <w:outlineLvl w:val="2"/>
        <w:rPr>
          <w:rFonts w:ascii="宋体" w:hAnsi="宋体" w:eastAsia="宋体" w:cs="宋体"/>
          <w:b/>
          <w:bCs/>
          <w:color w:val="auto"/>
          <w:sz w:val="21"/>
          <w:szCs w:val="21"/>
        </w:rPr>
      </w:pPr>
      <w:bookmarkStart w:id="362" w:name="_Toc989338"/>
      <w:r>
        <w:rPr>
          <w:rFonts w:ascii="宋体" w:hAnsi="宋体" w:eastAsia="宋体" w:cs="宋体"/>
          <w:b/>
          <w:bCs/>
          <w:color w:val="auto"/>
          <w:sz w:val="21"/>
          <w:szCs w:val="21"/>
        </w:rPr>
        <w:t>2、持续和非持续第一层次公允价值计量项目市价的确定依据</w:t>
      </w:r>
      <w:bookmarkEnd w:id="362"/>
    </w:p>
    <w:p w14:paraId="705A603D">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按公允价值三个层次列示了以公允价值计量的金融资产工具于2025年6月30日的账面价值。公允价值整体归类于三个层次时，依据的是公允价值计量时使用的各重要输入值所属三个层次中的最低层次。三个层次的定义如下：</w:t>
      </w:r>
    </w:p>
    <w:p w14:paraId="66AE69A3">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第1层次：是在计量日能够取得的相同资产或负债在活跃市场上未经调整的报价；</w:t>
      </w:r>
    </w:p>
    <w:p w14:paraId="042D55C6">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第2层次：是除第一层次输入值外相关资产或负债直接或间接可观察的输入值；</w:t>
      </w:r>
    </w:p>
    <w:p w14:paraId="0D52F069">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第二层次输入值包括：1）活跃市场中类似资产或负债的报价；2）非活跃市场中相同或类似资产或负债的报价；3）除报价以外的其他可观察输入值，包括在正常报价间隔期间可观察的利率和收益率曲线、隐含波动率和信用利差等；4）市场验证的输入值等。</w:t>
      </w:r>
    </w:p>
    <w:p w14:paraId="1A91D79A">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第3层次：是相关资产或负债的不可观察输入值。</w:t>
      </w:r>
    </w:p>
    <w:p w14:paraId="57530958">
      <w:pPr>
        <w:keepNext/>
        <w:keepLines/>
        <w:spacing w:before="300" w:after="300" w:line="280" w:lineRule="exact"/>
        <w:jc w:val="left"/>
        <w:outlineLvl w:val="2"/>
        <w:rPr>
          <w:rFonts w:ascii="宋体" w:hAnsi="宋体" w:eastAsia="宋体" w:cs="宋体"/>
          <w:b/>
          <w:bCs/>
          <w:color w:val="auto"/>
          <w:sz w:val="21"/>
          <w:szCs w:val="21"/>
        </w:rPr>
      </w:pPr>
      <w:bookmarkStart w:id="363" w:name="_Toc989339"/>
      <w:r>
        <w:rPr>
          <w:rFonts w:ascii="宋体" w:hAnsi="宋体" w:eastAsia="宋体" w:cs="宋体"/>
          <w:b/>
          <w:bCs/>
          <w:color w:val="auto"/>
          <w:sz w:val="21"/>
          <w:szCs w:val="21"/>
        </w:rPr>
        <w:t>3、持续和非持续第二层次公允价值计量项目，采用的估值技术和重要参数的定性及定量信息</w:t>
      </w:r>
      <w:bookmarkEnd w:id="363"/>
    </w:p>
    <w:p w14:paraId="194C3FE7">
      <w:pPr>
        <w:keepNext/>
        <w:keepLines/>
        <w:spacing w:before="300" w:after="300" w:line="280" w:lineRule="exact"/>
        <w:jc w:val="left"/>
        <w:outlineLvl w:val="2"/>
        <w:rPr>
          <w:rFonts w:ascii="宋体" w:hAnsi="宋体" w:eastAsia="宋体" w:cs="宋体"/>
          <w:b/>
          <w:bCs/>
          <w:color w:val="auto"/>
          <w:sz w:val="21"/>
          <w:szCs w:val="21"/>
        </w:rPr>
      </w:pPr>
      <w:bookmarkStart w:id="364" w:name="_Toc989340"/>
      <w:r>
        <w:rPr>
          <w:rFonts w:ascii="宋体" w:hAnsi="宋体" w:eastAsia="宋体" w:cs="宋体"/>
          <w:b/>
          <w:bCs/>
          <w:color w:val="auto"/>
          <w:sz w:val="21"/>
          <w:szCs w:val="21"/>
        </w:rPr>
        <w:t>4、持续和非持续第三层次公允价值计量项目，采用的估值技术和重要参数的定性及定量信息</w:t>
      </w:r>
      <w:bookmarkEnd w:id="364"/>
    </w:p>
    <w:p w14:paraId="663A4409">
      <w:pPr>
        <w:pStyle w:val="4"/>
        <w:keepNext w:val="0"/>
        <w:keepLines w:val="0"/>
        <w:widowControl/>
        <w:suppressLineNumbers w:val="0"/>
        <w:spacing w:line="360" w:lineRule="auto"/>
        <w:ind w:left="0" w:right="0" w:firstLine="392"/>
        <w:jc w:val="both"/>
        <w:rPr>
          <w:rFonts w:hint="default" w:ascii="Times New Roman" w:hAnsi="Times New Roman" w:cs="Times New Roman"/>
          <w:color w:val="auto"/>
          <w:sz w:val="24"/>
          <w:szCs w:val="24"/>
        </w:rPr>
      </w:pPr>
      <w:r>
        <w:rPr>
          <w:rFonts w:hint="eastAsia" w:ascii="宋体" w:hAnsi="宋体" w:eastAsia="宋体" w:cs="宋体"/>
          <w:color w:val="auto"/>
          <w:spacing w:val="-7"/>
          <w:sz w:val="21"/>
          <w:szCs w:val="21"/>
        </w:rPr>
        <w:t>本公司第三层次公允价值计量项目为应收款项融资。应收款项融资系应收票据，根据其</w:t>
      </w:r>
      <w:r>
        <w:rPr>
          <w:rFonts w:hint="eastAsia" w:ascii="宋体" w:hAnsi="宋体" w:eastAsia="宋体" w:cs="宋体"/>
          <w:color w:val="auto"/>
          <w:spacing w:val="-5"/>
          <w:sz w:val="21"/>
          <w:szCs w:val="21"/>
        </w:rPr>
        <w:t>账面价值确定其公允价值。</w:t>
      </w:r>
    </w:p>
    <w:p w14:paraId="030058D4">
      <w:pPr>
        <w:keepNext/>
        <w:keepLines/>
        <w:spacing w:before="300" w:after="300" w:line="280" w:lineRule="exact"/>
        <w:jc w:val="left"/>
        <w:outlineLvl w:val="2"/>
        <w:rPr>
          <w:rFonts w:ascii="宋体" w:hAnsi="宋体" w:eastAsia="宋体" w:cs="宋体"/>
          <w:b/>
          <w:bCs/>
          <w:color w:val="auto"/>
          <w:sz w:val="21"/>
          <w:szCs w:val="21"/>
        </w:rPr>
      </w:pPr>
      <w:bookmarkStart w:id="365" w:name="_Toc989341"/>
      <w:r>
        <w:rPr>
          <w:rFonts w:ascii="宋体" w:hAnsi="宋体" w:eastAsia="宋体" w:cs="宋体"/>
          <w:b/>
          <w:bCs/>
          <w:color w:val="auto"/>
          <w:sz w:val="21"/>
          <w:szCs w:val="21"/>
        </w:rPr>
        <w:t>5、持续的第三层次公允价值计量项目，期初与期末账面价值间的调节信息及不可观察参数敏感性分析</w:t>
      </w:r>
      <w:bookmarkEnd w:id="365"/>
    </w:p>
    <w:p w14:paraId="7AF9D131">
      <w:pPr>
        <w:keepNext/>
        <w:keepLines/>
        <w:spacing w:before="300" w:after="300" w:line="280" w:lineRule="exact"/>
        <w:jc w:val="left"/>
        <w:outlineLvl w:val="2"/>
        <w:rPr>
          <w:rFonts w:ascii="宋体" w:hAnsi="宋体" w:eastAsia="宋体" w:cs="宋体"/>
          <w:b/>
          <w:bCs/>
          <w:color w:val="auto"/>
          <w:sz w:val="21"/>
          <w:szCs w:val="21"/>
        </w:rPr>
      </w:pPr>
      <w:bookmarkStart w:id="366" w:name="_Toc989342"/>
      <w:r>
        <w:rPr>
          <w:rFonts w:ascii="宋体" w:hAnsi="宋体" w:eastAsia="宋体" w:cs="宋体"/>
          <w:b/>
          <w:bCs/>
          <w:color w:val="auto"/>
          <w:sz w:val="21"/>
          <w:szCs w:val="21"/>
        </w:rPr>
        <w:t>6、持续的公允价值计量项目，本期内发生各层级之间转换的，转换的原因及确定转换时点的政策</w:t>
      </w:r>
      <w:bookmarkEnd w:id="366"/>
    </w:p>
    <w:p w14:paraId="2F4712F6">
      <w:pPr>
        <w:keepNext/>
        <w:keepLines/>
        <w:spacing w:before="300" w:after="300" w:line="280" w:lineRule="exact"/>
        <w:jc w:val="left"/>
        <w:outlineLvl w:val="2"/>
        <w:rPr>
          <w:rFonts w:ascii="宋体" w:hAnsi="宋体" w:eastAsia="宋体" w:cs="宋体"/>
          <w:b/>
          <w:bCs/>
          <w:color w:val="auto"/>
          <w:sz w:val="21"/>
          <w:szCs w:val="21"/>
        </w:rPr>
      </w:pPr>
      <w:bookmarkStart w:id="367" w:name="_Toc989343"/>
      <w:r>
        <w:rPr>
          <w:rFonts w:ascii="宋体" w:hAnsi="宋体" w:eastAsia="宋体" w:cs="宋体"/>
          <w:b/>
          <w:bCs/>
          <w:color w:val="auto"/>
          <w:sz w:val="21"/>
          <w:szCs w:val="21"/>
        </w:rPr>
        <w:t>7、本期内发生的估值技术变更及变更原因</w:t>
      </w:r>
      <w:bookmarkEnd w:id="367"/>
    </w:p>
    <w:p w14:paraId="36326DF7">
      <w:pPr>
        <w:keepNext/>
        <w:keepLines/>
        <w:spacing w:before="300" w:after="300" w:line="280" w:lineRule="exact"/>
        <w:jc w:val="left"/>
        <w:outlineLvl w:val="2"/>
        <w:rPr>
          <w:rFonts w:ascii="宋体" w:hAnsi="宋体" w:eastAsia="宋体" w:cs="宋体"/>
          <w:b/>
          <w:bCs/>
          <w:color w:val="auto"/>
          <w:sz w:val="21"/>
          <w:szCs w:val="21"/>
        </w:rPr>
      </w:pPr>
      <w:bookmarkStart w:id="368" w:name="_Toc989344"/>
      <w:r>
        <w:rPr>
          <w:rFonts w:ascii="宋体" w:hAnsi="宋体" w:eastAsia="宋体" w:cs="宋体"/>
          <w:b/>
          <w:bCs/>
          <w:color w:val="auto"/>
          <w:sz w:val="21"/>
          <w:szCs w:val="21"/>
        </w:rPr>
        <w:t>8、不以公允价值计量的金融资产和金融负债的公允价值情况</w:t>
      </w:r>
      <w:bookmarkEnd w:id="368"/>
    </w:p>
    <w:p w14:paraId="1F69A2D3">
      <w:pPr>
        <w:pStyle w:val="4"/>
        <w:keepNext w:val="0"/>
        <w:keepLines w:val="0"/>
        <w:widowControl/>
        <w:suppressLineNumbers w:val="0"/>
        <w:spacing w:line="360" w:lineRule="auto"/>
        <w:ind w:left="0" w:right="0" w:firstLine="392"/>
        <w:jc w:val="both"/>
        <w:rPr>
          <w:rFonts w:hint="default" w:ascii="Times New Roman" w:hAnsi="Times New Roman" w:cs="Times New Roman"/>
          <w:color w:val="auto"/>
          <w:sz w:val="24"/>
          <w:szCs w:val="24"/>
        </w:rPr>
      </w:pPr>
      <w:r>
        <w:rPr>
          <w:rFonts w:hint="eastAsia" w:ascii="宋体" w:hAnsi="宋体" w:eastAsia="宋体" w:cs="宋体"/>
          <w:color w:val="auto"/>
          <w:spacing w:val="-7"/>
          <w:sz w:val="21"/>
          <w:szCs w:val="21"/>
        </w:rPr>
        <w:t>不以公允价值计量的金融资产和负债主要包括：应收款项、短期借款、应付款项、一年内到期的非流动负债和长期借款、在活跃市场中没有报价且其公允价值不能可靠计量的权益工具投资。</w:t>
      </w:r>
    </w:p>
    <w:p w14:paraId="20894014">
      <w:pPr>
        <w:pStyle w:val="4"/>
        <w:keepNext w:val="0"/>
        <w:keepLines w:val="0"/>
        <w:widowControl/>
        <w:suppressLineNumbers w:val="0"/>
        <w:spacing w:line="360" w:lineRule="auto"/>
        <w:ind w:left="0" w:right="0" w:firstLine="392"/>
        <w:jc w:val="both"/>
        <w:rPr>
          <w:rFonts w:hint="default" w:ascii="Times New Roman" w:hAnsi="Times New Roman" w:cs="Times New Roman"/>
          <w:color w:val="auto"/>
          <w:sz w:val="24"/>
          <w:szCs w:val="24"/>
        </w:rPr>
      </w:pPr>
      <w:r>
        <w:rPr>
          <w:rFonts w:hint="eastAsia" w:ascii="宋体" w:hAnsi="宋体" w:eastAsia="宋体" w:cs="宋体"/>
          <w:color w:val="auto"/>
          <w:spacing w:val="-7"/>
          <w:sz w:val="21"/>
          <w:szCs w:val="21"/>
        </w:rPr>
        <w:t>上述不以公允价值计量的金融资产和负债的账面价值与公允价值相差很小。</w:t>
      </w:r>
    </w:p>
    <w:p w14:paraId="109F3325">
      <w:pPr>
        <w:keepNext/>
        <w:keepLines/>
        <w:spacing w:before="300" w:after="300" w:line="280" w:lineRule="exact"/>
        <w:jc w:val="left"/>
        <w:outlineLvl w:val="2"/>
        <w:rPr>
          <w:rFonts w:ascii="宋体" w:hAnsi="宋体" w:eastAsia="宋体" w:cs="宋体"/>
          <w:b/>
          <w:bCs/>
          <w:color w:val="auto"/>
          <w:sz w:val="21"/>
          <w:szCs w:val="21"/>
        </w:rPr>
      </w:pPr>
      <w:bookmarkStart w:id="369" w:name="_Toc989345"/>
      <w:r>
        <w:rPr>
          <w:rFonts w:ascii="宋体" w:hAnsi="宋体" w:eastAsia="宋体" w:cs="宋体"/>
          <w:b/>
          <w:bCs/>
          <w:color w:val="auto"/>
          <w:sz w:val="21"/>
          <w:szCs w:val="21"/>
        </w:rPr>
        <w:t>9、其他</w:t>
      </w:r>
      <w:bookmarkEnd w:id="369"/>
    </w:p>
    <w:p w14:paraId="08BA7CA0">
      <w:pPr>
        <w:keepNext/>
        <w:keepLines/>
        <w:spacing w:before="300" w:after="300" w:line="320" w:lineRule="exact"/>
        <w:jc w:val="left"/>
        <w:outlineLvl w:val="1"/>
        <w:rPr>
          <w:rFonts w:ascii="宋体" w:hAnsi="宋体" w:eastAsia="宋体" w:cs="宋体"/>
          <w:b/>
          <w:bCs/>
          <w:color w:val="auto"/>
          <w:sz w:val="24"/>
          <w:szCs w:val="24"/>
        </w:rPr>
      </w:pPr>
      <w:bookmarkStart w:id="370" w:name="_Toc989346"/>
      <w:r>
        <w:rPr>
          <w:rFonts w:ascii="宋体" w:hAnsi="宋体" w:eastAsia="宋体" w:cs="宋体"/>
          <w:b/>
          <w:bCs/>
          <w:color w:val="auto"/>
          <w:sz w:val="24"/>
          <w:szCs w:val="24"/>
        </w:rPr>
        <w:t>十四、关联方及关联交易</w:t>
      </w:r>
      <w:bookmarkEnd w:id="370"/>
    </w:p>
    <w:p w14:paraId="5B8341C3">
      <w:pPr>
        <w:keepNext/>
        <w:keepLines/>
        <w:spacing w:before="300" w:after="300" w:line="280" w:lineRule="exact"/>
        <w:jc w:val="left"/>
        <w:outlineLvl w:val="2"/>
        <w:rPr>
          <w:rFonts w:ascii="宋体" w:hAnsi="宋体" w:eastAsia="宋体" w:cs="宋体"/>
          <w:b/>
          <w:bCs/>
          <w:color w:val="auto"/>
          <w:sz w:val="21"/>
          <w:szCs w:val="21"/>
        </w:rPr>
      </w:pPr>
      <w:bookmarkStart w:id="371" w:name="_Toc989347"/>
      <w:r>
        <w:rPr>
          <w:rFonts w:ascii="宋体" w:hAnsi="宋体" w:eastAsia="宋体" w:cs="宋体"/>
          <w:b/>
          <w:bCs/>
          <w:color w:val="auto"/>
          <w:sz w:val="21"/>
          <w:szCs w:val="21"/>
        </w:rPr>
        <w:t>1、本企业的母公司情况</w:t>
      </w:r>
      <w:bookmarkEnd w:id="371"/>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652AC4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B8981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母公司名称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6AA270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注册地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E03454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业务性质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FAC6DB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注册资本</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56ADA9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母公司对本企业的持股比例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503EED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母公司对本企业的表决权比例</w:t>
            </w:r>
          </w:p>
        </w:tc>
      </w:tr>
      <w:tr w14:paraId="3488A1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52F06E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福建奥华集团有限公司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D494EF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福建省福州市</w:t>
            </w:r>
          </w:p>
        </w:tc>
        <w:tc>
          <w:tcPr>
            <w:tcW w:w="1606" w:type="dxa"/>
            <w:tcBorders>
              <w:top w:val="single" w:color="auto" w:sz="2" w:space="0"/>
              <w:left w:val="single" w:color="auto" w:sz="2" w:space="0"/>
              <w:bottom w:val="single" w:color="auto" w:sz="2" w:space="0"/>
              <w:right w:val="single" w:color="auto" w:sz="2" w:space="0"/>
            </w:tcBorders>
            <w:vAlign w:val="center"/>
          </w:tcPr>
          <w:p w14:paraId="0393746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对传媒、医药业、房地产业的投资等</w:t>
            </w:r>
          </w:p>
        </w:tc>
        <w:tc>
          <w:tcPr>
            <w:tcW w:w="1606" w:type="dxa"/>
            <w:tcBorders>
              <w:top w:val="single" w:color="auto" w:sz="2" w:space="0"/>
              <w:left w:val="single" w:color="auto" w:sz="2" w:space="0"/>
              <w:bottom w:val="single" w:color="auto" w:sz="2" w:space="0"/>
              <w:right w:val="single" w:color="auto" w:sz="2" w:space="0"/>
            </w:tcBorders>
            <w:vAlign w:val="center"/>
          </w:tcPr>
          <w:p w14:paraId="3894F5E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5,000</w:t>
            </w:r>
          </w:p>
        </w:tc>
        <w:tc>
          <w:tcPr>
            <w:tcW w:w="1606" w:type="dxa"/>
            <w:tcBorders>
              <w:top w:val="single" w:color="auto" w:sz="2" w:space="0"/>
              <w:left w:val="single" w:color="auto" w:sz="2" w:space="0"/>
              <w:bottom w:val="single" w:color="auto" w:sz="2" w:space="0"/>
              <w:right w:val="single" w:color="auto" w:sz="2" w:space="0"/>
            </w:tcBorders>
            <w:vAlign w:val="center"/>
          </w:tcPr>
          <w:p w14:paraId="2EEA804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17.00%</w:t>
            </w:r>
          </w:p>
        </w:tc>
        <w:tc>
          <w:tcPr>
            <w:tcW w:w="1606" w:type="dxa"/>
            <w:tcBorders>
              <w:top w:val="single" w:color="auto" w:sz="2" w:space="0"/>
              <w:left w:val="single" w:color="auto" w:sz="2" w:space="0"/>
              <w:bottom w:val="single" w:color="auto" w:sz="2" w:space="0"/>
              <w:right w:val="single" w:color="auto" w:sz="2" w:space="0"/>
            </w:tcBorders>
            <w:vAlign w:val="center"/>
          </w:tcPr>
          <w:p w14:paraId="623FB0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17.00%</w:t>
            </w:r>
          </w:p>
        </w:tc>
      </w:tr>
    </w:tbl>
    <w:p w14:paraId="1E7831E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本企业的母公司情况的说明</w:t>
      </w:r>
    </w:p>
    <w:p w14:paraId="40C7A77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本企业最终控制方是李国平、李国栋、叶理青。</w:t>
      </w:r>
    </w:p>
    <w:p w14:paraId="3D470F8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5C1FF86A">
      <w:pPr>
        <w:keepNext/>
        <w:keepLines/>
        <w:spacing w:before="300" w:after="300" w:line="280" w:lineRule="exact"/>
        <w:jc w:val="left"/>
        <w:outlineLvl w:val="2"/>
        <w:rPr>
          <w:rFonts w:ascii="宋体" w:hAnsi="宋体" w:eastAsia="宋体" w:cs="宋体"/>
          <w:b/>
          <w:bCs/>
          <w:color w:val="auto"/>
          <w:sz w:val="21"/>
          <w:szCs w:val="21"/>
        </w:rPr>
      </w:pPr>
      <w:bookmarkStart w:id="372" w:name="_Toc989348"/>
      <w:r>
        <w:rPr>
          <w:rFonts w:ascii="宋体" w:hAnsi="宋体" w:eastAsia="宋体" w:cs="宋体"/>
          <w:b/>
          <w:bCs/>
          <w:color w:val="auto"/>
          <w:sz w:val="21"/>
          <w:szCs w:val="21"/>
        </w:rPr>
        <w:t>2、本企业的子公司情况</w:t>
      </w:r>
      <w:bookmarkEnd w:id="372"/>
    </w:p>
    <w:p w14:paraId="351AE21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本企业子公司的情况详见附注十（一）在子公司中的权益。</w:t>
      </w:r>
    </w:p>
    <w:p w14:paraId="36E5777D">
      <w:pPr>
        <w:keepNext/>
        <w:keepLines/>
        <w:spacing w:before="300" w:after="300" w:line="280" w:lineRule="exact"/>
        <w:jc w:val="left"/>
        <w:outlineLvl w:val="2"/>
        <w:rPr>
          <w:rFonts w:ascii="宋体" w:hAnsi="宋体" w:eastAsia="宋体" w:cs="宋体"/>
          <w:b/>
          <w:bCs/>
          <w:color w:val="auto"/>
          <w:sz w:val="21"/>
          <w:szCs w:val="21"/>
        </w:rPr>
      </w:pPr>
      <w:bookmarkStart w:id="373" w:name="_Toc989349"/>
      <w:r>
        <w:rPr>
          <w:rFonts w:ascii="宋体" w:hAnsi="宋体" w:eastAsia="宋体" w:cs="宋体"/>
          <w:b/>
          <w:bCs/>
          <w:color w:val="auto"/>
          <w:sz w:val="21"/>
          <w:szCs w:val="21"/>
        </w:rPr>
        <w:t>3、本企业合营和联营企业情况</w:t>
      </w:r>
      <w:bookmarkEnd w:id="373"/>
    </w:p>
    <w:p w14:paraId="28F2D2A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本企业重要的合营或联营企业详见附注十（三）在合营安排或联营企业中的权益。</w:t>
      </w:r>
    </w:p>
    <w:p w14:paraId="2DBF6A5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本期与本公司发生关联方交易，或前期与本公司发生关联方交易形成余额的其他合营或联营企业情况如下：</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43D364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5A09AA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合营或联营企业名称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C9FEBF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与本企业关系</w:t>
            </w:r>
          </w:p>
        </w:tc>
      </w:tr>
    </w:tbl>
    <w:p w14:paraId="6F69612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6FFA8C3">
      <w:pPr>
        <w:keepNext/>
        <w:keepLines/>
        <w:spacing w:before="300" w:after="300" w:line="280" w:lineRule="exact"/>
        <w:jc w:val="left"/>
        <w:outlineLvl w:val="2"/>
        <w:rPr>
          <w:rFonts w:ascii="宋体" w:hAnsi="宋体" w:eastAsia="宋体" w:cs="宋体"/>
          <w:b/>
          <w:bCs/>
          <w:color w:val="auto"/>
          <w:sz w:val="21"/>
          <w:szCs w:val="21"/>
        </w:rPr>
      </w:pPr>
      <w:bookmarkStart w:id="374" w:name="_Toc989350"/>
      <w:r>
        <w:rPr>
          <w:rFonts w:ascii="宋体" w:hAnsi="宋体" w:eastAsia="宋体" w:cs="宋体"/>
          <w:b/>
          <w:bCs/>
          <w:color w:val="auto"/>
          <w:sz w:val="21"/>
          <w:szCs w:val="21"/>
        </w:rPr>
        <w:t>4、其他关联方情况</w:t>
      </w:r>
      <w:bookmarkEnd w:id="374"/>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3DB9F7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250308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其他关联方名称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21685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其他关联方与本企业关系</w:t>
            </w:r>
          </w:p>
        </w:tc>
      </w:tr>
      <w:tr w14:paraId="72A347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00E14CC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奥美（福建）广告有限公司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6E6BC97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实际控制人担任董事长的公司</w:t>
            </w:r>
          </w:p>
        </w:tc>
      </w:tr>
      <w:tr w14:paraId="6B50AD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775BFC6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福州与见品牌设计有限公司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5CBB911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控股股东参股的公司</w:t>
            </w:r>
          </w:p>
        </w:tc>
      </w:tr>
      <w:tr w14:paraId="373333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30ED8EE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福建奥龙传媒有限公司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1F233E4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控股股东参股的公司</w:t>
            </w:r>
          </w:p>
        </w:tc>
      </w:tr>
      <w:tr w14:paraId="64C7F4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6C633E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福建瑞泰来医药科技有限公司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0AD5B63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控股股东高管担任董事的公司</w:t>
            </w:r>
          </w:p>
        </w:tc>
      </w:tr>
      <w:tr w14:paraId="718538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4295F2F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JWM</w:t>
            </w:r>
            <w:r>
              <w:rPr>
                <w:rFonts w:hint="eastAsia" w:ascii="宋体" w:hAnsi="宋体" w:cs="宋体"/>
                <w:color w:val="auto"/>
                <w:sz w:val="18"/>
                <w:szCs w:val="18"/>
                <w:lang w:val="en-US" w:eastAsia="zh-CN"/>
              </w:rPr>
              <w:t xml:space="preserve"> </w:t>
            </w:r>
            <w:r>
              <w:rPr>
                <w:rFonts w:ascii="宋体" w:hAnsi="宋体" w:eastAsia="宋体" w:cs="宋体"/>
                <w:color w:val="auto"/>
                <w:sz w:val="18"/>
                <w:szCs w:val="18"/>
              </w:rPr>
              <w:t>Pharmaceutical</w:t>
            </w:r>
            <w:r>
              <w:rPr>
                <w:rFonts w:hint="eastAsia" w:ascii="宋体" w:hAnsi="宋体" w:cs="宋体"/>
                <w:color w:val="auto"/>
                <w:sz w:val="18"/>
                <w:szCs w:val="18"/>
                <w:lang w:val="en-US" w:eastAsia="zh-CN"/>
              </w:rPr>
              <w:t xml:space="preserve"> </w:t>
            </w:r>
            <w:r>
              <w:rPr>
                <w:rFonts w:ascii="宋体" w:hAnsi="宋体" w:eastAsia="宋体" w:cs="宋体"/>
                <w:color w:val="auto"/>
                <w:sz w:val="18"/>
                <w:szCs w:val="18"/>
              </w:rPr>
              <w:t>Services,</w:t>
            </w:r>
            <w:r>
              <w:rPr>
                <w:rFonts w:hint="eastAsia" w:ascii="宋体" w:hAnsi="宋体" w:cs="宋体"/>
                <w:color w:val="auto"/>
                <w:sz w:val="18"/>
                <w:szCs w:val="18"/>
                <w:lang w:val="en-US" w:eastAsia="zh-CN"/>
              </w:rPr>
              <w:t xml:space="preserve"> </w:t>
            </w:r>
            <w:r>
              <w:rPr>
                <w:rFonts w:ascii="宋体" w:hAnsi="宋体" w:eastAsia="宋体" w:cs="宋体"/>
                <w:color w:val="auto"/>
                <w:sz w:val="18"/>
                <w:szCs w:val="18"/>
              </w:rPr>
              <w:t>Inc.</w:t>
            </w:r>
          </w:p>
        </w:tc>
        <w:tc>
          <w:tcPr>
            <w:tcW w:w="4820" w:type="dxa"/>
            <w:tcBorders>
              <w:top w:val="single" w:color="auto" w:sz="2" w:space="0"/>
              <w:left w:val="single" w:color="auto" w:sz="2" w:space="0"/>
              <w:bottom w:val="single" w:color="auto" w:sz="2" w:space="0"/>
              <w:right w:val="single" w:color="auto" w:sz="2" w:space="0"/>
            </w:tcBorders>
            <w:vAlign w:val="center"/>
          </w:tcPr>
          <w:p w14:paraId="33283793">
            <w:pPr>
              <w:spacing w:before="0" w:after="0" w:line="240" w:lineRule="exact"/>
              <w:jc w:val="left"/>
              <w:rPr>
                <w:rFonts w:ascii="宋体" w:hAnsi="宋体" w:eastAsia="宋体" w:cs="宋体"/>
                <w:color w:val="auto"/>
                <w:sz w:val="18"/>
                <w:szCs w:val="18"/>
              </w:rPr>
            </w:pPr>
            <w:r>
              <w:rPr>
                <w:rFonts w:hint="eastAsia" w:ascii="宋体" w:hAnsi="宋体" w:cs="宋体"/>
                <w:color w:val="auto"/>
                <w:sz w:val="18"/>
                <w:szCs w:val="18"/>
                <w:lang w:val="en-US" w:eastAsia="zh-CN"/>
              </w:rPr>
              <w:t>原</w:t>
            </w:r>
            <w:r>
              <w:rPr>
                <w:rFonts w:ascii="宋体" w:hAnsi="宋体" w:eastAsia="宋体" w:cs="宋体"/>
                <w:color w:val="auto"/>
                <w:sz w:val="18"/>
                <w:szCs w:val="18"/>
              </w:rPr>
              <w:t>首席科学家毛伟忠控制的公司</w:t>
            </w:r>
          </w:p>
        </w:tc>
      </w:tr>
      <w:tr w14:paraId="1E183C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78C16CA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福州吉昂医学检验实验室有限公司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2B0CDAD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控股股东间接参股的公司</w:t>
            </w:r>
          </w:p>
        </w:tc>
      </w:tr>
      <w:tr w14:paraId="2264A3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2E46456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福建阿吉安生物科技有限公司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4DFB97B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控股股东高管担任董事的公司</w:t>
            </w:r>
          </w:p>
        </w:tc>
      </w:tr>
      <w:tr w14:paraId="6EEEC8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46F171A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福州奥泰六期投资合伙企业（有限合伙）</w:t>
            </w:r>
          </w:p>
        </w:tc>
        <w:tc>
          <w:tcPr>
            <w:tcW w:w="4820" w:type="dxa"/>
            <w:tcBorders>
              <w:top w:val="single" w:color="auto" w:sz="2" w:space="0"/>
              <w:left w:val="single" w:color="auto" w:sz="2" w:space="0"/>
              <w:bottom w:val="single" w:color="auto" w:sz="2" w:space="0"/>
              <w:right w:val="single" w:color="auto" w:sz="2" w:space="0"/>
            </w:tcBorders>
            <w:vAlign w:val="center"/>
          </w:tcPr>
          <w:p w14:paraId="229BFF7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董事黄伏虎担任执行事务合伙人</w:t>
            </w:r>
          </w:p>
        </w:tc>
      </w:tr>
      <w:tr w14:paraId="1FB4A5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708CB1D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福州奥泰五期投资合伙企业（有限合伙）</w:t>
            </w:r>
          </w:p>
        </w:tc>
        <w:tc>
          <w:tcPr>
            <w:tcW w:w="4820" w:type="dxa"/>
            <w:tcBorders>
              <w:top w:val="single" w:color="auto" w:sz="2" w:space="0"/>
              <w:left w:val="single" w:color="auto" w:sz="2" w:space="0"/>
              <w:bottom w:val="single" w:color="auto" w:sz="2" w:space="0"/>
              <w:right w:val="single" w:color="auto" w:sz="2" w:space="0"/>
            </w:tcBorders>
            <w:vAlign w:val="center"/>
          </w:tcPr>
          <w:p w14:paraId="7926000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高管官建辉担任执行事务合伙人</w:t>
            </w:r>
          </w:p>
        </w:tc>
      </w:tr>
      <w:tr w14:paraId="0E8771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79CDB98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劲久达大健康科技（福建）有限公司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7915A56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控股股东参股的公司</w:t>
            </w:r>
          </w:p>
        </w:tc>
      </w:tr>
      <w:tr w14:paraId="4076BC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9E17BC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上海和则生投资发展有限公司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14AE0EF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实际控制人控制的公司</w:t>
            </w:r>
          </w:p>
        </w:tc>
      </w:tr>
    </w:tbl>
    <w:p w14:paraId="1347754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DEF8A1D">
      <w:pPr>
        <w:keepNext/>
        <w:keepLines/>
        <w:spacing w:before="300" w:after="300" w:line="280" w:lineRule="exact"/>
        <w:jc w:val="left"/>
        <w:outlineLvl w:val="2"/>
        <w:rPr>
          <w:rFonts w:ascii="宋体" w:hAnsi="宋体" w:eastAsia="宋体" w:cs="宋体"/>
          <w:b/>
          <w:bCs/>
          <w:color w:val="auto"/>
          <w:sz w:val="21"/>
          <w:szCs w:val="21"/>
        </w:rPr>
      </w:pPr>
      <w:bookmarkStart w:id="375" w:name="_Toc989351"/>
      <w:r>
        <w:rPr>
          <w:rFonts w:ascii="宋体" w:hAnsi="宋体" w:eastAsia="宋体" w:cs="宋体"/>
          <w:b/>
          <w:bCs/>
          <w:color w:val="auto"/>
          <w:sz w:val="21"/>
          <w:szCs w:val="21"/>
        </w:rPr>
        <w:t>5、关联交易情况</w:t>
      </w:r>
      <w:bookmarkEnd w:id="375"/>
    </w:p>
    <w:p w14:paraId="5865A8F3">
      <w:pPr>
        <w:keepNext/>
        <w:keepLines/>
        <w:spacing w:before="300" w:after="300" w:line="280" w:lineRule="exact"/>
        <w:jc w:val="left"/>
        <w:outlineLvl w:val="3"/>
        <w:rPr>
          <w:rFonts w:ascii="宋体" w:hAnsi="宋体" w:eastAsia="宋体" w:cs="宋体"/>
          <w:b/>
          <w:bCs/>
          <w:color w:val="auto"/>
          <w:sz w:val="21"/>
          <w:szCs w:val="21"/>
        </w:rPr>
      </w:pPr>
      <w:bookmarkStart w:id="376" w:name="_Toc989352"/>
      <w:r>
        <w:rPr>
          <w:rFonts w:ascii="宋体" w:hAnsi="宋体" w:eastAsia="宋体" w:cs="宋体"/>
          <w:b/>
          <w:bCs/>
          <w:color w:val="auto"/>
          <w:sz w:val="21"/>
          <w:szCs w:val="21"/>
        </w:rPr>
        <w:t>（1）购销商品、提供和接受劳务的关联交易</w:t>
      </w:r>
      <w:bookmarkEnd w:id="376"/>
    </w:p>
    <w:p w14:paraId="4A0347F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采购商品/接受劳务情况表</w:t>
      </w:r>
    </w:p>
    <w:p w14:paraId="51414245">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5C02E0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4D7AB0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关联方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1345EB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关联交易内容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BDCA34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442D04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获批的交易额度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A9E333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是否超过交易额度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2B893C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439E0F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2DAE3B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福州与见品牌设计有限公司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9EC27C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设计、策划服务费用</w:t>
            </w:r>
          </w:p>
        </w:tc>
        <w:tc>
          <w:tcPr>
            <w:tcW w:w="1606" w:type="dxa"/>
            <w:tcBorders>
              <w:top w:val="single" w:color="auto" w:sz="2" w:space="0"/>
              <w:left w:val="single" w:color="auto" w:sz="2" w:space="0"/>
              <w:bottom w:val="single" w:color="auto" w:sz="2" w:space="0"/>
              <w:right w:val="single" w:color="auto" w:sz="2" w:space="0"/>
            </w:tcBorders>
            <w:vAlign w:val="center"/>
          </w:tcPr>
          <w:p w14:paraId="27AA357A">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7F26D42">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1D4D117">
            <w:pPr>
              <w:spacing w:before="0" w:after="0" w:line="240" w:lineRule="exact"/>
              <w:jc w:val="lef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D86CB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98,583.03</w:t>
            </w:r>
          </w:p>
        </w:tc>
      </w:tr>
      <w:tr w14:paraId="2076D4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ED5A08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福建奥龙传媒有限公司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B041BA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设计、策划服务费用</w:t>
            </w:r>
          </w:p>
        </w:tc>
        <w:tc>
          <w:tcPr>
            <w:tcW w:w="1606" w:type="dxa"/>
            <w:tcBorders>
              <w:top w:val="single" w:color="auto" w:sz="2" w:space="0"/>
              <w:left w:val="single" w:color="auto" w:sz="2" w:space="0"/>
              <w:bottom w:val="single" w:color="auto" w:sz="2" w:space="0"/>
              <w:right w:val="single" w:color="auto" w:sz="2" w:space="0"/>
            </w:tcBorders>
            <w:vAlign w:val="center"/>
          </w:tcPr>
          <w:p w14:paraId="6AD8C1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113,733.77</w:t>
            </w:r>
          </w:p>
        </w:tc>
        <w:tc>
          <w:tcPr>
            <w:tcW w:w="1606" w:type="dxa"/>
            <w:tcBorders>
              <w:top w:val="single" w:color="auto" w:sz="2" w:space="0"/>
              <w:left w:val="single" w:color="auto" w:sz="2" w:space="0"/>
              <w:bottom w:val="single" w:color="auto" w:sz="2" w:space="0"/>
              <w:right w:val="single" w:color="auto" w:sz="2" w:space="0"/>
            </w:tcBorders>
            <w:vAlign w:val="center"/>
          </w:tcPr>
          <w:p w14:paraId="7D31FFB7">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AC114C9">
            <w:pPr>
              <w:spacing w:before="0" w:after="0" w:line="240" w:lineRule="exact"/>
              <w:jc w:val="lef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F9362E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381,383.96</w:t>
            </w:r>
          </w:p>
        </w:tc>
      </w:tr>
      <w:tr w14:paraId="66A0BA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14032C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福建瑞泰来医药科技有限公司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ADF8AF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技术服务</w:t>
            </w:r>
          </w:p>
        </w:tc>
        <w:tc>
          <w:tcPr>
            <w:tcW w:w="1606" w:type="dxa"/>
            <w:tcBorders>
              <w:top w:val="single" w:color="auto" w:sz="2" w:space="0"/>
              <w:left w:val="single" w:color="auto" w:sz="2" w:space="0"/>
              <w:bottom w:val="single" w:color="auto" w:sz="2" w:space="0"/>
              <w:right w:val="single" w:color="auto" w:sz="2" w:space="0"/>
            </w:tcBorders>
            <w:vAlign w:val="center"/>
          </w:tcPr>
          <w:p w14:paraId="237CA47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198,113.22</w:t>
            </w:r>
          </w:p>
        </w:tc>
        <w:tc>
          <w:tcPr>
            <w:tcW w:w="1606" w:type="dxa"/>
            <w:tcBorders>
              <w:top w:val="single" w:color="auto" w:sz="2" w:space="0"/>
              <w:left w:val="single" w:color="auto" w:sz="2" w:space="0"/>
              <w:bottom w:val="single" w:color="auto" w:sz="2" w:space="0"/>
              <w:right w:val="single" w:color="auto" w:sz="2" w:space="0"/>
            </w:tcBorders>
            <w:vAlign w:val="center"/>
          </w:tcPr>
          <w:p w14:paraId="7F2DB5B3">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D6DEBD3">
            <w:pPr>
              <w:spacing w:before="0" w:after="0" w:line="240" w:lineRule="exact"/>
              <w:jc w:val="lef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6C8321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8,671,320.74</w:t>
            </w:r>
          </w:p>
        </w:tc>
      </w:tr>
      <w:tr w14:paraId="3FA463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32E50B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2524CF3D">
            <w:pPr>
              <w:spacing w:before="0" w:after="0" w:line="240" w:lineRule="exact"/>
              <w:jc w:val="lef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B2FF89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311,846.99</w:t>
            </w:r>
          </w:p>
        </w:tc>
        <w:tc>
          <w:tcPr>
            <w:tcW w:w="1606" w:type="dxa"/>
            <w:tcBorders>
              <w:top w:val="single" w:color="auto" w:sz="2" w:space="0"/>
              <w:left w:val="single" w:color="auto" w:sz="2" w:space="0"/>
              <w:bottom w:val="single" w:color="auto" w:sz="2" w:space="0"/>
              <w:right w:val="single" w:color="auto" w:sz="2" w:space="0"/>
            </w:tcBorders>
            <w:vAlign w:val="center"/>
          </w:tcPr>
          <w:p w14:paraId="4D42F849">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419F8B1">
            <w:pPr>
              <w:spacing w:before="0" w:after="0" w:line="240" w:lineRule="exact"/>
              <w:jc w:val="lef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5E89C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9,151,287.73</w:t>
            </w:r>
          </w:p>
        </w:tc>
      </w:tr>
    </w:tbl>
    <w:p w14:paraId="48819C4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出售商品/提供劳务情况表</w:t>
      </w:r>
    </w:p>
    <w:p w14:paraId="7C36B8C0">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4FF8F2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DFF7AA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46D465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关联交易内容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AB78C4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E4A9FF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14AD509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购销商品、提供和接受劳务的关联交易说明</w:t>
      </w:r>
    </w:p>
    <w:p w14:paraId="0DED23AC">
      <w:pPr>
        <w:keepNext/>
        <w:keepLines/>
        <w:spacing w:before="300" w:after="300" w:line="280" w:lineRule="exact"/>
        <w:jc w:val="left"/>
        <w:outlineLvl w:val="3"/>
        <w:rPr>
          <w:rFonts w:ascii="宋体" w:hAnsi="宋体" w:eastAsia="宋体" w:cs="宋体"/>
          <w:b/>
          <w:bCs/>
          <w:color w:val="auto"/>
          <w:sz w:val="21"/>
          <w:szCs w:val="21"/>
        </w:rPr>
      </w:pPr>
      <w:bookmarkStart w:id="377" w:name="_Toc989353"/>
      <w:r>
        <w:rPr>
          <w:rFonts w:ascii="宋体" w:hAnsi="宋体" w:eastAsia="宋体" w:cs="宋体"/>
          <w:b/>
          <w:bCs/>
          <w:color w:val="auto"/>
          <w:sz w:val="21"/>
          <w:szCs w:val="21"/>
        </w:rPr>
        <w:t>（2）关联受托管理/承包及委托管理/出包情况</w:t>
      </w:r>
      <w:bookmarkEnd w:id="377"/>
    </w:p>
    <w:p w14:paraId="6867AB0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本公司受托管理/承包情况表：</w:t>
      </w:r>
    </w:p>
    <w:p w14:paraId="00DA0E1A">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73693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63FB1F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委托方/出包方名称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71E38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受托方/承包方名称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CB5B44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受托/承包资产类型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535CFC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受托/承包起始日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B4D85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受托/承包终止日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496BA9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托管收益/承包收益定价依据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8CDC6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本期确认的托管收益/承包收益</w:t>
            </w:r>
          </w:p>
        </w:tc>
      </w:tr>
    </w:tbl>
    <w:p w14:paraId="4E51EEB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关联托管/承包情况说明</w:t>
      </w:r>
    </w:p>
    <w:p w14:paraId="71AD893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本公司委托管理/出包情况表：</w:t>
      </w:r>
    </w:p>
    <w:p w14:paraId="24F08B9A">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F494F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C95C4A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委托方/出包方名称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68F060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受托方/承包方名称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0C20E2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委托/出包资产类型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97F34F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委托/出包起始日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A83185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委托/出包终止日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99718C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托管费/出包费定价依据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2943A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本期确认的托管费/出包费</w:t>
            </w:r>
          </w:p>
        </w:tc>
      </w:tr>
    </w:tbl>
    <w:p w14:paraId="486A382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关联管理/出包情况说明</w:t>
      </w:r>
    </w:p>
    <w:p w14:paraId="32BC1BE7">
      <w:pPr>
        <w:keepNext/>
        <w:keepLines/>
        <w:spacing w:before="300" w:after="300" w:line="280" w:lineRule="exact"/>
        <w:jc w:val="left"/>
        <w:outlineLvl w:val="3"/>
        <w:rPr>
          <w:rFonts w:ascii="宋体" w:hAnsi="宋体" w:eastAsia="宋体" w:cs="宋体"/>
          <w:b/>
          <w:bCs/>
          <w:color w:val="auto"/>
          <w:sz w:val="21"/>
          <w:szCs w:val="21"/>
        </w:rPr>
      </w:pPr>
      <w:bookmarkStart w:id="378" w:name="_Toc989354"/>
      <w:r>
        <w:rPr>
          <w:rFonts w:ascii="宋体" w:hAnsi="宋体" w:eastAsia="宋体" w:cs="宋体"/>
          <w:b/>
          <w:bCs/>
          <w:color w:val="auto"/>
          <w:sz w:val="21"/>
          <w:szCs w:val="21"/>
        </w:rPr>
        <w:t>（3）关联租赁情况</w:t>
      </w:r>
      <w:bookmarkEnd w:id="378"/>
    </w:p>
    <w:p w14:paraId="7A267FA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本公司作为出租方：</w:t>
      </w:r>
    </w:p>
    <w:p w14:paraId="5E06479A">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9B80A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84A885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承租方名称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E98FF2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租赁资产种类</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FCF806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本期确认的租赁收入</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1BCBAB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上期确认的租赁收入</w:t>
            </w:r>
          </w:p>
        </w:tc>
      </w:tr>
      <w:tr w14:paraId="5544D2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D0A895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福建阿吉安生物科技有限公司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3E03A23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2EBB0C0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132,414.39</w:t>
            </w:r>
          </w:p>
        </w:tc>
        <w:tc>
          <w:tcPr>
            <w:tcW w:w="2410" w:type="dxa"/>
            <w:tcBorders>
              <w:top w:val="single" w:color="auto" w:sz="2" w:space="0"/>
              <w:left w:val="single" w:color="auto" w:sz="2" w:space="0"/>
              <w:bottom w:val="single" w:color="auto" w:sz="2" w:space="0"/>
              <w:right w:val="single" w:color="auto" w:sz="2" w:space="0"/>
            </w:tcBorders>
            <w:vAlign w:val="center"/>
          </w:tcPr>
          <w:p w14:paraId="6945E4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300,388.32</w:t>
            </w:r>
          </w:p>
        </w:tc>
      </w:tr>
      <w:tr w14:paraId="460A1B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2557D4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福建瑞泰来医药科技有限公司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58F028B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58FDE3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5,504.58</w:t>
            </w:r>
          </w:p>
        </w:tc>
        <w:tc>
          <w:tcPr>
            <w:tcW w:w="2410" w:type="dxa"/>
            <w:tcBorders>
              <w:top w:val="single" w:color="auto" w:sz="2" w:space="0"/>
              <w:left w:val="single" w:color="auto" w:sz="2" w:space="0"/>
              <w:bottom w:val="single" w:color="auto" w:sz="2" w:space="0"/>
              <w:right w:val="single" w:color="auto" w:sz="2" w:space="0"/>
            </w:tcBorders>
            <w:vAlign w:val="center"/>
          </w:tcPr>
          <w:p w14:paraId="5B63D5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5,504.58</w:t>
            </w:r>
          </w:p>
        </w:tc>
      </w:tr>
      <w:tr w14:paraId="0518FE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663367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福州奥泰六期投资合伙企业（有限合伙）</w:t>
            </w:r>
          </w:p>
        </w:tc>
        <w:tc>
          <w:tcPr>
            <w:tcW w:w="2410" w:type="dxa"/>
            <w:tcBorders>
              <w:top w:val="single" w:color="auto" w:sz="2" w:space="0"/>
              <w:left w:val="single" w:color="auto" w:sz="2" w:space="0"/>
              <w:bottom w:val="single" w:color="auto" w:sz="2" w:space="0"/>
              <w:right w:val="single" w:color="auto" w:sz="2" w:space="0"/>
            </w:tcBorders>
            <w:vAlign w:val="center"/>
          </w:tcPr>
          <w:p w14:paraId="17C3D3F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5C49AA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1,926.60</w:t>
            </w:r>
          </w:p>
        </w:tc>
        <w:tc>
          <w:tcPr>
            <w:tcW w:w="2410" w:type="dxa"/>
            <w:tcBorders>
              <w:top w:val="single" w:color="auto" w:sz="2" w:space="0"/>
              <w:left w:val="single" w:color="auto" w:sz="2" w:space="0"/>
              <w:bottom w:val="single" w:color="auto" w:sz="2" w:space="0"/>
              <w:right w:val="single" w:color="auto" w:sz="2" w:space="0"/>
            </w:tcBorders>
            <w:vAlign w:val="center"/>
          </w:tcPr>
          <w:p w14:paraId="12824C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1,926.60</w:t>
            </w:r>
          </w:p>
        </w:tc>
      </w:tr>
      <w:tr w14:paraId="5E2E48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DBADAF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福州奥泰五期投资合伙企业（有限合伙）</w:t>
            </w:r>
          </w:p>
        </w:tc>
        <w:tc>
          <w:tcPr>
            <w:tcW w:w="2410" w:type="dxa"/>
            <w:tcBorders>
              <w:top w:val="single" w:color="auto" w:sz="2" w:space="0"/>
              <w:left w:val="single" w:color="auto" w:sz="2" w:space="0"/>
              <w:bottom w:val="single" w:color="auto" w:sz="2" w:space="0"/>
              <w:right w:val="single" w:color="auto" w:sz="2" w:space="0"/>
            </w:tcBorders>
            <w:vAlign w:val="center"/>
          </w:tcPr>
          <w:p w14:paraId="25FFB5C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5A1D8C5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1,926.60</w:t>
            </w:r>
          </w:p>
        </w:tc>
        <w:tc>
          <w:tcPr>
            <w:tcW w:w="2410" w:type="dxa"/>
            <w:tcBorders>
              <w:top w:val="single" w:color="auto" w:sz="2" w:space="0"/>
              <w:left w:val="single" w:color="auto" w:sz="2" w:space="0"/>
              <w:bottom w:val="single" w:color="auto" w:sz="2" w:space="0"/>
              <w:right w:val="single" w:color="auto" w:sz="2" w:space="0"/>
            </w:tcBorders>
            <w:vAlign w:val="center"/>
          </w:tcPr>
          <w:p w14:paraId="6915B19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1,926.60</w:t>
            </w:r>
          </w:p>
        </w:tc>
      </w:tr>
      <w:tr w14:paraId="69DD3B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75D5CE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福州奥泰九期投资合伙企业（有限合伙）</w:t>
            </w:r>
          </w:p>
        </w:tc>
        <w:tc>
          <w:tcPr>
            <w:tcW w:w="2410" w:type="dxa"/>
            <w:tcBorders>
              <w:top w:val="single" w:color="auto" w:sz="2" w:space="0"/>
              <w:left w:val="single" w:color="auto" w:sz="2" w:space="0"/>
              <w:bottom w:val="single" w:color="auto" w:sz="2" w:space="0"/>
              <w:right w:val="single" w:color="auto" w:sz="2" w:space="0"/>
            </w:tcBorders>
            <w:vAlign w:val="center"/>
          </w:tcPr>
          <w:p w14:paraId="1190D2A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0EB1C9D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1,926.61</w:t>
            </w:r>
          </w:p>
        </w:tc>
        <w:tc>
          <w:tcPr>
            <w:tcW w:w="2410" w:type="dxa"/>
            <w:tcBorders>
              <w:top w:val="single" w:color="auto" w:sz="2" w:space="0"/>
              <w:left w:val="single" w:color="auto" w:sz="2" w:space="0"/>
              <w:bottom w:val="single" w:color="auto" w:sz="2" w:space="0"/>
              <w:right w:val="single" w:color="auto" w:sz="2" w:space="0"/>
            </w:tcBorders>
            <w:vAlign w:val="center"/>
          </w:tcPr>
          <w:p w14:paraId="433AE5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2CE01E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1CBEEF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福州吉昂医学检验实验室有限公司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7044052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16C38F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-5,595.26</w:t>
            </w:r>
          </w:p>
        </w:tc>
        <w:tc>
          <w:tcPr>
            <w:tcW w:w="2410" w:type="dxa"/>
            <w:tcBorders>
              <w:top w:val="single" w:color="auto" w:sz="2" w:space="0"/>
              <w:left w:val="single" w:color="auto" w:sz="2" w:space="0"/>
              <w:bottom w:val="single" w:color="auto" w:sz="2" w:space="0"/>
              <w:right w:val="single" w:color="auto" w:sz="2" w:space="0"/>
            </w:tcBorders>
            <w:vAlign w:val="center"/>
          </w:tcPr>
          <w:p w14:paraId="562A68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197,664.84</w:t>
            </w:r>
          </w:p>
        </w:tc>
      </w:tr>
      <w:tr w14:paraId="16D8C6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79644A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劲久达大健康科技（福建）有限公司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49882D5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房屋建筑物</w:t>
            </w:r>
          </w:p>
        </w:tc>
        <w:tc>
          <w:tcPr>
            <w:tcW w:w="2410" w:type="dxa"/>
            <w:tcBorders>
              <w:top w:val="single" w:color="auto" w:sz="2" w:space="0"/>
              <w:left w:val="single" w:color="auto" w:sz="2" w:space="0"/>
              <w:bottom w:val="single" w:color="auto" w:sz="2" w:space="0"/>
              <w:right w:val="single" w:color="auto" w:sz="2" w:space="0"/>
            </w:tcBorders>
            <w:vAlign w:val="center"/>
          </w:tcPr>
          <w:p w14:paraId="2FEC8C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1,142.86</w:t>
            </w:r>
          </w:p>
        </w:tc>
        <w:tc>
          <w:tcPr>
            <w:tcW w:w="2410" w:type="dxa"/>
            <w:tcBorders>
              <w:top w:val="single" w:color="auto" w:sz="2" w:space="0"/>
              <w:left w:val="single" w:color="auto" w:sz="2" w:space="0"/>
              <w:bottom w:val="single" w:color="auto" w:sz="2" w:space="0"/>
              <w:right w:val="single" w:color="auto" w:sz="2" w:space="0"/>
            </w:tcBorders>
            <w:vAlign w:val="center"/>
          </w:tcPr>
          <w:p w14:paraId="7DB5A4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1,142.83</w:t>
            </w:r>
          </w:p>
        </w:tc>
      </w:tr>
      <w:tr w14:paraId="390D17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D669E0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DBE855E">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1BE67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139,246.38</w:t>
            </w:r>
          </w:p>
        </w:tc>
        <w:tc>
          <w:tcPr>
            <w:tcW w:w="2410" w:type="dxa"/>
            <w:tcBorders>
              <w:top w:val="single" w:color="auto" w:sz="2" w:space="0"/>
              <w:left w:val="single" w:color="auto" w:sz="2" w:space="0"/>
              <w:bottom w:val="single" w:color="auto" w:sz="2" w:space="0"/>
              <w:right w:val="single" w:color="auto" w:sz="2" w:space="0"/>
            </w:tcBorders>
            <w:vAlign w:val="center"/>
          </w:tcPr>
          <w:p w14:paraId="1BE6D79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508,553.77</w:t>
            </w:r>
          </w:p>
        </w:tc>
      </w:tr>
    </w:tbl>
    <w:p w14:paraId="69A5C4D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本公司作为承租方：</w:t>
      </w:r>
    </w:p>
    <w:p w14:paraId="0105AF3F">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03"/>
        <w:gridCol w:w="803"/>
        <w:gridCol w:w="803"/>
        <w:gridCol w:w="803"/>
        <w:gridCol w:w="803"/>
        <w:gridCol w:w="803"/>
        <w:gridCol w:w="803"/>
        <w:gridCol w:w="803"/>
        <w:gridCol w:w="803"/>
        <w:gridCol w:w="803"/>
        <w:gridCol w:w="803"/>
        <w:gridCol w:w="803"/>
      </w:tblGrid>
      <w:tr w14:paraId="2D33C9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774ED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出租方名称</w:t>
            </w:r>
          </w:p>
        </w:tc>
        <w:tc>
          <w:tcPr>
            <w:tcW w:w="8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BBA868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租赁资产种类</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620E15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简化处理的短期租赁和低价值资产租赁的租金费用（如适用）</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B8C273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未纳入租赁负债计量的可变租赁付款额（如适用）</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13F328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支付的租金</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ECD4C2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承担的租赁负债利息支出</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72714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增加的使用权资产</w:t>
            </w:r>
          </w:p>
        </w:tc>
      </w:tr>
      <w:tr w14:paraId="6C8A07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vMerge w:val="continue"/>
            <w:tcBorders>
              <w:top w:val="single" w:color="auto" w:sz="2" w:space="0"/>
              <w:left w:val="single" w:color="auto" w:sz="2" w:space="0"/>
              <w:bottom w:val="single" w:color="auto" w:sz="2" w:space="0"/>
              <w:right w:val="single" w:color="auto" w:sz="2" w:space="0"/>
            </w:tcBorders>
            <w:vAlign w:val="center"/>
          </w:tcPr>
          <w:p w14:paraId="2E50711C">
            <w:pPr>
              <w:rPr>
                <w:color w:val="auto"/>
              </w:rPr>
            </w:pPr>
          </w:p>
        </w:tc>
        <w:tc>
          <w:tcPr>
            <w:tcW w:w="803" w:type="dxa"/>
            <w:vMerge w:val="continue"/>
            <w:tcBorders>
              <w:top w:val="single" w:color="auto" w:sz="2" w:space="0"/>
              <w:left w:val="single" w:color="auto" w:sz="2" w:space="0"/>
              <w:bottom w:val="single" w:color="auto" w:sz="2" w:space="0"/>
              <w:right w:val="single" w:color="auto" w:sz="2" w:space="0"/>
            </w:tcBorders>
            <w:vAlign w:val="center"/>
          </w:tcPr>
          <w:p w14:paraId="2A355EBC">
            <w:pPr>
              <w:rPr>
                <w:color w:val="auto"/>
              </w:rPr>
            </w:pP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B4C12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56E1FF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3878A7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2B92F01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2C7A78E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2AB51B7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44DBE47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FE03A1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3BA2F32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42EA78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0BD48F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tcBorders>
              <w:top w:val="single" w:color="auto" w:sz="2" w:space="0"/>
              <w:left w:val="single" w:color="auto" w:sz="2" w:space="0"/>
              <w:bottom w:val="single" w:color="auto" w:sz="2" w:space="0"/>
              <w:right w:val="single" w:color="auto" w:sz="2" w:space="0"/>
            </w:tcBorders>
            <w:vAlign w:val="center"/>
          </w:tcPr>
          <w:p w14:paraId="5712F9C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北京奥华新传广告有限公司</w:t>
            </w:r>
          </w:p>
        </w:tc>
        <w:tc>
          <w:tcPr>
            <w:tcW w:w="803" w:type="dxa"/>
            <w:tcBorders>
              <w:top w:val="single" w:color="auto" w:sz="2" w:space="0"/>
              <w:left w:val="single" w:color="auto" w:sz="2" w:space="0"/>
              <w:bottom w:val="single" w:color="auto" w:sz="2" w:space="0"/>
              <w:right w:val="single" w:color="auto" w:sz="2" w:space="0"/>
            </w:tcBorders>
            <w:vAlign w:val="center"/>
          </w:tcPr>
          <w:p w14:paraId="6918E2A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运输工具</w:t>
            </w:r>
          </w:p>
        </w:tc>
        <w:tc>
          <w:tcPr>
            <w:tcW w:w="803" w:type="dxa"/>
            <w:tcBorders>
              <w:top w:val="single" w:color="auto" w:sz="2" w:space="0"/>
              <w:left w:val="single" w:color="auto" w:sz="2" w:space="0"/>
              <w:bottom w:val="single" w:color="auto" w:sz="2" w:space="0"/>
              <w:right w:val="single" w:color="auto" w:sz="2" w:space="0"/>
            </w:tcBorders>
            <w:vAlign w:val="center"/>
          </w:tcPr>
          <w:p w14:paraId="47F2B0D9">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17B338ED">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53FD5FCD">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2E7DD30E">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04C29B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w:t>
            </w:r>
          </w:p>
        </w:tc>
        <w:tc>
          <w:tcPr>
            <w:tcW w:w="803" w:type="dxa"/>
            <w:tcBorders>
              <w:top w:val="single" w:color="auto" w:sz="2" w:space="0"/>
              <w:left w:val="single" w:color="auto" w:sz="2" w:space="0"/>
              <w:bottom w:val="single" w:color="auto" w:sz="2" w:space="0"/>
              <w:right w:val="single" w:color="auto" w:sz="2" w:space="0"/>
            </w:tcBorders>
            <w:vAlign w:val="center"/>
          </w:tcPr>
          <w:p w14:paraId="35E3236E">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7EFD9128">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5B267D3E">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12E947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88,495.58</w:t>
            </w:r>
          </w:p>
        </w:tc>
        <w:tc>
          <w:tcPr>
            <w:tcW w:w="803" w:type="dxa"/>
            <w:tcBorders>
              <w:top w:val="single" w:color="auto" w:sz="2" w:space="0"/>
              <w:left w:val="single" w:color="auto" w:sz="2" w:space="0"/>
              <w:bottom w:val="single" w:color="auto" w:sz="2" w:space="0"/>
              <w:right w:val="single" w:color="auto" w:sz="2" w:space="0"/>
            </w:tcBorders>
            <w:vAlign w:val="center"/>
          </w:tcPr>
          <w:p w14:paraId="6B5C7864">
            <w:pPr>
              <w:spacing w:before="0" w:after="0" w:line="240" w:lineRule="exact"/>
              <w:jc w:val="right"/>
              <w:rPr>
                <w:rFonts w:ascii="宋体" w:hAnsi="宋体" w:eastAsia="宋体" w:cs="宋体"/>
                <w:color w:val="auto"/>
                <w:sz w:val="18"/>
                <w:szCs w:val="18"/>
              </w:rPr>
            </w:pPr>
          </w:p>
        </w:tc>
      </w:tr>
      <w:tr w14:paraId="3614FA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3" w:type="dxa"/>
            <w:tcBorders>
              <w:top w:val="single" w:color="auto" w:sz="2" w:space="0"/>
              <w:left w:val="single" w:color="auto" w:sz="2" w:space="0"/>
              <w:bottom w:val="single" w:color="auto" w:sz="2" w:space="0"/>
              <w:right w:val="single" w:color="auto" w:sz="2" w:space="0"/>
            </w:tcBorders>
            <w:vAlign w:val="center"/>
          </w:tcPr>
          <w:p w14:paraId="201EEE8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803" w:type="dxa"/>
            <w:tcBorders>
              <w:top w:val="single" w:color="auto" w:sz="2" w:space="0"/>
              <w:left w:val="single" w:color="auto" w:sz="2" w:space="0"/>
              <w:bottom w:val="single" w:color="auto" w:sz="2" w:space="0"/>
              <w:right w:val="single" w:color="auto" w:sz="2" w:space="0"/>
            </w:tcBorders>
            <w:vAlign w:val="center"/>
          </w:tcPr>
          <w:p w14:paraId="0D88890E">
            <w:pPr>
              <w:spacing w:before="0" w:after="0" w:line="240" w:lineRule="exact"/>
              <w:jc w:val="lef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7BD7EEAE">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5FEFB420">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72099EC5">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513D0361">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094D240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w:t>
            </w:r>
          </w:p>
        </w:tc>
        <w:tc>
          <w:tcPr>
            <w:tcW w:w="803" w:type="dxa"/>
            <w:tcBorders>
              <w:top w:val="single" w:color="auto" w:sz="2" w:space="0"/>
              <w:left w:val="single" w:color="auto" w:sz="2" w:space="0"/>
              <w:bottom w:val="single" w:color="auto" w:sz="2" w:space="0"/>
              <w:right w:val="single" w:color="auto" w:sz="2" w:space="0"/>
            </w:tcBorders>
            <w:vAlign w:val="center"/>
          </w:tcPr>
          <w:p w14:paraId="04D4292F">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54CE27BF">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5DC9FE2D">
            <w:pPr>
              <w:spacing w:before="0" w:after="0" w:line="240" w:lineRule="exact"/>
              <w:jc w:val="right"/>
              <w:rPr>
                <w:rFonts w:ascii="宋体" w:hAnsi="宋体" w:eastAsia="宋体" w:cs="宋体"/>
                <w:color w:val="auto"/>
                <w:sz w:val="18"/>
                <w:szCs w:val="18"/>
              </w:rPr>
            </w:pPr>
          </w:p>
        </w:tc>
        <w:tc>
          <w:tcPr>
            <w:tcW w:w="803" w:type="dxa"/>
            <w:tcBorders>
              <w:top w:val="single" w:color="auto" w:sz="2" w:space="0"/>
              <w:left w:val="single" w:color="auto" w:sz="2" w:space="0"/>
              <w:bottom w:val="single" w:color="auto" w:sz="2" w:space="0"/>
              <w:right w:val="single" w:color="auto" w:sz="2" w:space="0"/>
            </w:tcBorders>
            <w:vAlign w:val="center"/>
          </w:tcPr>
          <w:p w14:paraId="05FD551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88,495.58</w:t>
            </w:r>
          </w:p>
        </w:tc>
        <w:tc>
          <w:tcPr>
            <w:tcW w:w="803" w:type="dxa"/>
            <w:tcBorders>
              <w:top w:val="single" w:color="auto" w:sz="2" w:space="0"/>
              <w:left w:val="single" w:color="auto" w:sz="2" w:space="0"/>
              <w:bottom w:val="single" w:color="auto" w:sz="2" w:space="0"/>
              <w:right w:val="single" w:color="auto" w:sz="2" w:space="0"/>
            </w:tcBorders>
            <w:vAlign w:val="center"/>
          </w:tcPr>
          <w:p w14:paraId="65AE6AF8">
            <w:pPr>
              <w:spacing w:before="0" w:after="0" w:line="240" w:lineRule="exact"/>
              <w:jc w:val="right"/>
              <w:rPr>
                <w:rFonts w:ascii="宋体" w:hAnsi="宋体" w:eastAsia="宋体" w:cs="宋体"/>
                <w:color w:val="auto"/>
                <w:sz w:val="18"/>
                <w:szCs w:val="18"/>
              </w:rPr>
            </w:pPr>
          </w:p>
        </w:tc>
      </w:tr>
    </w:tbl>
    <w:p w14:paraId="4B3EBB7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关联租赁情况说明</w:t>
      </w:r>
    </w:p>
    <w:p w14:paraId="4DF2CEAF">
      <w:pPr>
        <w:keepNext/>
        <w:keepLines/>
        <w:spacing w:before="300" w:after="300" w:line="280" w:lineRule="exact"/>
        <w:jc w:val="left"/>
        <w:outlineLvl w:val="3"/>
        <w:rPr>
          <w:rFonts w:ascii="宋体" w:hAnsi="宋体" w:eastAsia="宋体" w:cs="宋体"/>
          <w:b/>
          <w:bCs/>
          <w:color w:val="auto"/>
          <w:sz w:val="21"/>
          <w:szCs w:val="21"/>
        </w:rPr>
      </w:pPr>
      <w:bookmarkStart w:id="379" w:name="_Toc989355"/>
      <w:r>
        <w:rPr>
          <w:rFonts w:ascii="宋体" w:hAnsi="宋体" w:eastAsia="宋体" w:cs="宋体"/>
          <w:b/>
          <w:bCs/>
          <w:color w:val="auto"/>
          <w:sz w:val="21"/>
          <w:szCs w:val="21"/>
        </w:rPr>
        <w:t>（4）关联担保情况</w:t>
      </w:r>
      <w:bookmarkEnd w:id="379"/>
    </w:p>
    <w:p w14:paraId="5AEAC84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本公司作为担保方</w:t>
      </w:r>
    </w:p>
    <w:p w14:paraId="375382D5">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570960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8D304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被担保方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B30742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担保金额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6D09D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担保起始日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ECB2E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担保到期日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8F338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担保是否已经履行完毕</w:t>
            </w:r>
          </w:p>
        </w:tc>
      </w:tr>
    </w:tbl>
    <w:p w14:paraId="1F1A160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本公司作为被担保方</w:t>
      </w:r>
    </w:p>
    <w:p w14:paraId="433FB559">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2D352E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BAA86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担保方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2B4538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担保金额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764CB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担保起始日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27D89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担保到期日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A0F0FD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担保是否已经履行完毕</w:t>
            </w:r>
          </w:p>
        </w:tc>
      </w:tr>
      <w:tr w14:paraId="6A4523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53E9061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30EC7F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15,000.00</w:t>
            </w:r>
          </w:p>
        </w:tc>
        <w:tc>
          <w:tcPr>
            <w:tcW w:w="1928" w:type="dxa"/>
            <w:tcBorders>
              <w:top w:val="single" w:color="auto" w:sz="2" w:space="0"/>
              <w:left w:val="single" w:color="auto" w:sz="2" w:space="0"/>
              <w:bottom w:val="single" w:color="auto" w:sz="2" w:space="0"/>
              <w:right w:val="single" w:color="auto" w:sz="2" w:space="0"/>
            </w:tcBorders>
            <w:vAlign w:val="center"/>
          </w:tcPr>
          <w:p w14:paraId="10905C0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2022年12月16日</w:t>
            </w:r>
          </w:p>
        </w:tc>
        <w:tc>
          <w:tcPr>
            <w:tcW w:w="1928" w:type="dxa"/>
            <w:tcBorders>
              <w:top w:val="single" w:color="auto" w:sz="2" w:space="0"/>
              <w:left w:val="single" w:color="auto" w:sz="2" w:space="0"/>
              <w:bottom w:val="single" w:color="auto" w:sz="2" w:space="0"/>
              <w:right w:val="single" w:color="auto" w:sz="2" w:space="0"/>
            </w:tcBorders>
            <w:vAlign w:val="center"/>
          </w:tcPr>
          <w:p w14:paraId="7C5D3B8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2027年12月16日</w:t>
            </w:r>
          </w:p>
        </w:tc>
        <w:tc>
          <w:tcPr>
            <w:tcW w:w="1928" w:type="dxa"/>
            <w:tcBorders>
              <w:top w:val="single" w:color="auto" w:sz="2" w:space="0"/>
              <w:left w:val="single" w:color="auto" w:sz="2" w:space="0"/>
              <w:bottom w:val="single" w:color="auto" w:sz="2" w:space="0"/>
              <w:right w:val="single" w:color="auto" w:sz="2" w:space="0"/>
            </w:tcBorders>
            <w:vAlign w:val="center"/>
          </w:tcPr>
          <w:p w14:paraId="775F229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否</w:t>
            </w:r>
          </w:p>
        </w:tc>
      </w:tr>
      <w:tr w14:paraId="6E6E70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8ED8BE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6D6E11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12,480.00</w:t>
            </w:r>
          </w:p>
        </w:tc>
        <w:tc>
          <w:tcPr>
            <w:tcW w:w="1928" w:type="dxa"/>
            <w:tcBorders>
              <w:top w:val="single" w:color="auto" w:sz="2" w:space="0"/>
              <w:left w:val="single" w:color="auto" w:sz="2" w:space="0"/>
              <w:bottom w:val="single" w:color="auto" w:sz="2" w:space="0"/>
              <w:right w:val="single" w:color="auto" w:sz="2" w:space="0"/>
            </w:tcBorders>
            <w:vAlign w:val="center"/>
          </w:tcPr>
          <w:p w14:paraId="49CA36D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2022年11月25日</w:t>
            </w:r>
          </w:p>
        </w:tc>
        <w:tc>
          <w:tcPr>
            <w:tcW w:w="1928" w:type="dxa"/>
            <w:tcBorders>
              <w:top w:val="single" w:color="auto" w:sz="2" w:space="0"/>
              <w:left w:val="single" w:color="auto" w:sz="2" w:space="0"/>
              <w:bottom w:val="single" w:color="auto" w:sz="2" w:space="0"/>
              <w:right w:val="single" w:color="auto" w:sz="2" w:space="0"/>
            </w:tcBorders>
            <w:vAlign w:val="center"/>
          </w:tcPr>
          <w:p w14:paraId="57CB76C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2025年11月17日</w:t>
            </w:r>
          </w:p>
        </w:tc>
        <w:tc>
          <w:tcPr>
            <w:tcW w:w="1928" w:type="dxa"/>
            <w:tcBorders>
              <w:top w:val="single" w:color="auto" w:sz="2" w:space="0"/>
              <w:left w:val="single" w:color="auto" w:sz="2" w:space="0"/>
              <w:bottom w:val="single" w:color="auto" w:sz="2" w:space="0"/>
              <w:right w:val="single" w:color="auto" w:sz="2" w:space="0"/>
            </w:tcBorders>
            <w:vAlign w:val="center"/>
          </w:tcPr>
          <w:p w14:paraId="1AE007A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否</w:t>
            </w:r>
          </w:p>
        </w:tc>
      </w:tr>
      <w:tr w14:paraId="324473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08A8F6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5002328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3,000.00</w:t>
            </w:r>
          </w:p>
        </w:tc>
        <w:tc>
          <w:tcPr>
            <w:tcW w:w="1928" w:type="dxa"/>
            <w:tcBorders>
              <w:top w:val="single" w:color="auto" w:sz="2" w:space="0"/>
              <w:left w:val="single" w:color="auto" w:sz="2" w:space="0"/>
              <w:bottom w:val="single" w:color="auto" w:sz="2" w:space="0"/>
              <w:right w:val="single" w:color="auto" w:sz="2" w:space="0"/>
            </w:tcBorders>
            <w:vAlign w:val="center"/>
          </w:tcPr>
          <w:p w14:paraId="2437170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2024年06月12日</w:t>
            </w:r>
          </w:p>
        </w:tc>
        <w:tc>
          <w:tcPr>
            <w:tcW w:w="1928" w:type="dxa"/>
            <w:tcBorders>
              <w:top w:val="single" w:color="auto" w:sz="2" w:space="0"/>
              <w:left w:val="single" w:color="auto" w:sz="2" w:space="0"/>
              <w:bottom w:val="single" w:color="auto" w:sz="2" w:space="0"/>
              <w:right w:val="single" w:color="auto" w:sz="2" w:space="0"/>
            </w:tcBorders>
            <w:vAlign w:val="center"/>
          </w:tcPr>
          <w:p w14:paraId="77AA567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2025年06月12日</w:t>
            </w:r>
          </w:p>
        </w:tc>
        <w:tc>
          <w:tcPr>
            <w:tcW w:w="1928" w:type="dxa"/>
            <w:tcBorders>
              <w:top w:val="single" w:color="auto" w:sz="2" w:space="0"/>
              <w:left w:val="single" w:color="auto" w:sz="2" w:space="0"/>
              <w:bottom w:val="single" w:color="auto" w:sz="2" w:space="0"/>
              <w:right w:val="single" w:color="auto" w:sz="2" w:space="0"/>
            </w:tcBorders>
            <w:vAlign w:val="center"/>
          </w:tcPr>
          <w:p w14:paraId="04E5975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是</w:t>
            </w:r>
          </w:p>
        </w:tc>
      </w:tr>
      <w:tr w14:paraId="69FCC1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0D171C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52FD9E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w:t>
            </w:r>
          </w:p>
        </w:tc>
        <w:tc>
          <w:tcPr>
            <w:tcW w:w="1928" w:type="dxa"/>
            <w:tcBorders>
              <w:top w:val="single" w:color="auto" w:sz="2" w:space="0"/>
              <w:left w:val="single" w:color="auto" w:sz="2" w:space="0"/>
              <w:bottom w:val="single" w:color="auto" w:sz="2" w:space="0"/>
              <w:right w:val="single" w:color="auto" w:sz="2" w:space="0"/>
            </w:tcBorders>
            <w:vAlign w:val="center"/>
          </w:tcPr>
          <w:p w14:paraId="4AA08FC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2024年04月26日</w:t>
            </w:r>
          </w:p>
        </w:tc>
        <w:tc>
          <w:tcPr>
            <w:tcW w:w="1928" w:type="dxa"/>
            <w:tcBorders>
              <w:top w:val="single" w:color="auto" w:sz="2" w:space="0"/>
              <w:left w:val="single" w:color="auto" w:sz="2" w:space="0"/>
              <w:bottom w:val="single" w:color="auto" w:sz="2" w:space="0"/>
              <w:right w:val="single" w:color="auto" w:sz="2" w:space="0"/>
            </w:tcBorders>
            <w:vAlign w:val="center"/>
          </w:tcPr>
          <w:p w14:paraId="6B013FB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2027年04月26日</w:t>
            </w:r>
          </w:p>
        </w:tc>
        <w:tc>
          <w:tcPr>
            <w:tcW w:w="1928" w:type="dxa"/>
            <w:tcBorders>
              <w:top w:val="single" w:color="auto" w:sz="2" w:space="0"/>
              <w:left w:val="single" w:color="auto" w:sz="2" w:space="0"/>
              <w:bottom w:val="single" w:color="auto" w:sz="2" w:space="0"/>
              <w:right w:val="single" w:color="auto" w:sz="2" w:space="0"/>
            </w:tcBorders>
            <w:vAlign w:val="center"/>
          </w:tcPr>
          <w:p w14:paraId="7284F89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是</w:t>
            </w:r>
          </w:p>
        </w:tc>
      </w:tr>
      <w:tr w14:paraId="267DF4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74D624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38EF4D9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w:t>
            </w:r>
          </w:p>
        </w:tc>
        <w:tc>
          <w:tcPr>
            <w:tcW w:w="1928" w:type="dxa"/>
            <w:tcBorders>
              <w:top w:val="single" w:color="auto" w:sz="2" w:space="0"/>
              <w:left w:val="single" w:color="auto" w:sz="2" w:space="0"/>
              <w:bottom w:val="single" w:color="auto" w:sz="2" w:space="0"/>
              <w:right w:val="single" w:color="auto" w:sz="2" w:space="0"/>
            </w:tcBorders>
            <w:vAlign w:val="center"/>
          </w:tcPr>
          <w:p w14:paraId="4C04D42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2025年04月27日</w:t>
            </w:r>
          </w:p>
        </w:tc>
        <w:tc>
          <w:tcPr>
            <w:tcW w:w="1928" w:type="dxa"/>
            <w:tcBorders>
              <w:top w:val="single" w:color="auto" w:sz="2" w:space="0"/>
              <w:left w:val="single" w:color="auto" w:sz="2" w:space="0"/>
              <w:bottom w:val="single" w:color="auto" w:sz="2" w:space="0"/>
              <w:right w:val="single" w:color="auto" w:sz="2" w:space="0"/>
            </w:tcBorders>
            <w:vAlign w:val="center"/>
          </w:tcPr>
          <w:p w14:paraId="192C21D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2028年04月27日</w:t>
            </w:r>
          </w:p>
        </w:tc>
        <w:tc>
          <w:tcPr>
            <w:tcW w:w="1928" w:type="dxa"/>
            <w:tcBorders>
              <w:top w:val="single" w:color="auto" w:sz="2" w:space="0"/>
              <w:left w:val="single" w:color="auto" w:sz="2" w:space="0"/>
              <w:bottom w:val="single" w:color="auto" w:sz="2" w:space="0"/>
              <w:right w:val="single" w:color="auto" w:sz="2" w:space="0"/>
            </w:tcBorders>
            <w:vAlign w:val="center"/>
          </w:tcPr>
          <w:p w14:paraId="15D0B7B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否</w:t>
            </w:r>
          </w:p>
        </w:tc>
      </w:tr>
      <w:tr w14:paraId="1C0C85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CCA585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1685E9B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10,580.00</w:t>
            </w:r>
          </w:p>
        </w:tc>
        <w:tc>
          <w:tcPr>
            <w:tcW w:w="1928" w:type="dxa"/>
            <w:tcBorders>
              <w:top w:val="single" w:color="auto" w:sz="2" w:space="0"/>
              <w:left w:val="single" w:color="auto" w:sz="2" w:space="0"/>
              <w:bottom w:val="single" w:color="auto" w:sz="2" w:space="0"/>
              <w:right w:val="single" w:color="auto" w:sz="2" w:space="0"/>
            </w:tcBorders>
            <w:vAlign w:val="center"/>
          </w:tcPr>
          <w:p w14:paraId="2AA1641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2024年08月30日</w:t>
            </w:r>
          </w:p>
        </w:tc>
        <w:tc>
          <w:tcPr>
            <w:tcW w:w="1928" w:type="dxa"/>
            <w:tcBorders>
              <w:top w:val="single" w:color="auto" w:sz="2" w:space="0"/>
              <w:left w:val="single" w:color="auto" w:sz="2" w:space="0"/>
              <w:bottom w:val="single" w:color="auto" w:sz="2" w:space="0"/>
              <w:right w:val="single" w:color="auto" w:sz="2" w:space="0"/>
            </w:tcBorders>
            <w:vAlign w:val="center"/>
          </w:tcPr>
          <w:p w14:paraId="359E0AA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2026年08月12日</w:t>
            </w:r>
          </w:p>
        </w:tc>
        <w:tc>
          <w:tcPr>
            <w:tcW w:w="1928" w:type="dxa"/>
            <w:tcBorders>
              <w:top w:val="single" w:color="auto" w:sz="2" w:space="0"/>
              <w:left w:val="single" w:color="auto" w:sz="2" w:space="0"/>
              <w:bottom w:val="single" w:color="auto" w:sz="2" w:space="0"/>
              <w:right w:val="single" w:color="auto" w:sz="2" w:space="0"/>
            </w:tcBorders>
            <w:vAlign w:val="center"/>
          </w:tcPr>
          <w:p w14:paraId="4DD6BDD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否</w:t>
            </w:r>
          </w:p>
        </w:tc>
      </w:tr>
      <w:tr w14:paraId="38801B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660A4D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7524AC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w:t>
            </w:r>
          </w:p>
        </w:tc>
        <w:tc>
          <w:tcPr>
            <w:tcW w:w="1928" w:type="dxa"/>
            <w:tcBorders>
              <w:top w:val="single" w:color="auto" w:sz="2" w:space="0"/>
              <w:left w:val="single" w:color="auto" w:sz="2" w:space="0"/>
              <w:bottom w:val="single" w:color="auto" w:sz="2" w:space="0"/>
              <w:right w:val="single" w:color="auto" w:sz="2" w:space="0"/>
            </w:tcBorders>
            <w:vAlign w:val="center"/>
          </w:tcPr>
          <w:p w14:paraId="677482B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2024年03月04日</w:t>
            </w:r>
          </w:p>
        </w:tc>
        <w:tc>
          <w:tcPr>
            <w:tcW w:w="1928" w:type="dxa"/>
            <w:tcBorders>
              <w:top w:val="single" w:color="auto" w:sz="2" w:space="0"/>
              <w:left w:val="single" w:color="auto" w:sz="2" w:space="0"/>
              <w:bottom w:val="single" w:color="auto" w:sz="2" w:space="0"/>
              <w:right w:val="single" w:color="auto" w:sz="2" w:space="0"/>
            </w:tcBorders>
            <w:vAlign w:val="center"/>
          </w:tcPr>
          <w:p w14:paraId="0CD5D13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2025年01月12日</w:t>
            </w:r>
          </w:p>
        </w:tc>
        <w:tc>
          <w:tcPr>
            <w:tcW w:w="1928" w:type="dxa"/>
            <w:tcBorders>
              <w:top w:val="single" w:color="auto" w:sz="2" w:space="0"/>
              <w:left w:val="single" w:color="auto" w:sz="2" w:space="0"/>
              <w:bottom w:val="single" w:color="auto" w:sz="2" w:space="0"/>
              <w:right w:val="single" w:color="auto" w:sz="2" w:space="0"/>
            </w:tcBorders>
            <w:vAlign w:val="center"/>
          </w:tcPr>
          <w:p w14:paraId="7EFA98F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是</w:t>
            </w:r>
          </w:p>
        </w:tc>
      </w:tr>
      <w:tr w14:paraId="6F2C87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65F823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0C5E8C0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5,100.00</w:t>
            </w:r>
          </w:p>
        </w:tc>
        <w:tc>
          <w:tcPr>
            <w:tcW w:w="1928" w:type="dxa"/>
            <w:tcBorders>
              <w:top w:val="single" w:color="auto" w:sz="2" w:space="0"/>
              <w:left w:val="single" w:color="auto" w:sz="2" w:space="0"/>
              <w:bottom w:val="single" w:color="auto" w:sz="2" w:space="0"/>
              <w:right w:val="single" w:color="auto" w:sz="2" w:space="0"/>
            </w:tcBorders>
            <w:vAlign w:val="center"/>
          </w:tcPr>
          <w:p w14:paraId="353D3C7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2024年10月08日</w:t>
            </w:r>
          </w:p>
        </w:tc>
        <w:tc>
          <w:tcPr>
            <w:tcW w:w="1928" w:type="dxa"/>
            <w:tcBorders>
              <w:top w:val="single" w:color="auto" w:sz="2" w:space="0"/>
              <w:left w:val="single" w:color="auto" w:sz="2" w:space="0"/>
              <w:bottom w:val="single" w:color="auto" w:sz="2" w:space="0"/>
              <w:right w:val="single" w:color="auto" w:sz="2" w:space="0"/>
            </w:tcBorders>
            <w:vAlign w:val="center"/>
          </w:tcPr>
          <w:p w14:paraId="387FCCA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2026年10月07日</w:t>
            </w:r>
          </w:p>
        </w:tc>
        <w:tc>
          <w:tcPr>
            <w:tcW w:w="1928" w:type="dxa"/>
            <w:tcBorders>
              <w:top w:val="single" w:color="auto" w:sz="2" w:space="0"/>
              <w:left w:val="single" w:color="auto" w:sz="2" w:space="0"/>
              <w:bottom w:val="single" w:color="auto" w:sz="2" w:space="0"/>
              <w:right w:val="single" w:color="auto" w:sz="2" w:space="0"/>
            </w:tcBorders>
            <w:vAlign w:val="center"/>
          </w:tcPr>
          <w:p w14:paraId="025800A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否</w:t>
            </w:r>
          </w:p>
        </w:tc>
      </w:tr>
      <w:tr w14:paraId="6050E9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FE3466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6F9AD3F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w:t>
            </w:r>
          </w:p>
        </w:tc>
        <w:tc>
          <w:tcPr>
            <w:tcW w:w="1928" w:type="dxa"/>
            <w:tcBorders>
              <w:top w:val="single" w:color="auto" w:sz="2" w:space="0"/>
              <w:left w:val="single" w:color="auto" w:sz="2" w:space="0"/>
              <w:bottom w:val="single" w:color="auto" w:sz="2" w:space="0"/>
              <w:right w:val="single" w:color="auto" w:sz="2" w:space="0"/>
            </w:tcBorders>
            <w:vAlign w:val="center"/>
          </w:tcPr>
          <w:p w14:paraId="6E139E2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2025年03月31日</w:t>
            </w:r>
          </w:p>
        </w:tc>
        <w:tc>
          <w:tcPr>
            <w:tcW w:w="1928" w:type="dxa"/>
            <w:tcBorders>
              <w:top w:val="single" w:color="auto" w:sz="2" w:space="0"/>
              <w:left w:val="single" w:color="auto" w:sz="2" w:space="0"/>
              <w:bottom w:val="single" w:color="auto" w:sz="2" w:space="0"/>
              <w:right w:val="single" w:color="auto" w:sz="2" w:space="0"/>
            </w:tcBorders>
            <w:vAlign w:val="center"/>
          </w:tcPr>
          <w:p w14:paraId="76270F3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2026年03月27日</w:t>
            </w:r>
          </w:p>
        </w:tc>
        <w:tc>
          <w:tcPr>
            <w:tcW w:w="1928" w:type="dxa"/>
            <w:tcBorders>
              <w:top w:val="single" w:color="auto" w:sz="2" w:space="0"/>
              <w:left w:val="single" w:color="auto" w:sz="2" w:space="0"/>
              <w:bottom w:val="single" w:color="auto" w:sz="2" w:space="0"/>
              <w:right w:val="single" w:color="auto" w:sz="2" w:space="0"/>
            </w:tcBorders>
            <w:vAlign w:val="center"/>
          </w:tcPr>
          <w:p w14:paraId="68711DF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否</w:t>
            </w:r>
          </w:p>
        </w:tc>
      </w:tr>
      <w:tr w14:paraId="780740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74D3A4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李国平</w:t>
            </w:r>
          </w:p>
        </w:tc>
        <w:tc>
          <w:tcPr>
            <w:tcW w:w="1928" w:type="dxa"/>
            <w:tcBorders>
              <w:top w:val="single" w:color="auto" w:sz="2" w:space="0"/>
              <w:left w:val="single" w:color="auto" w:sz="2" w:space="0"/>
              <w:bottom w:val="single" w:color="auto" w:sz="2" w:space="0"/>
              <w:right w:val="single" w:color="auto" w:sz="2" w:space="0"/>
            </w:tcBorders>
            <w:vAlign w:val="center"/>
          </w:tcPr>
          <w:p w14:paraId="7E6778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w:t>
            </w:r>
          </w:p>
        </w:tc>
        <w:tc>
          <w:tcPr>
            <w:tcW w:w="1928" w:type="dxa"/>
            <w:tcBorders>
              <w:top w:val="single" w:color="auto" w:sz="2" w:space="0"/>
              <w:left w:val="single" w:color="auto" w:sz="2" w:space="0"/>
              <w:bottom w:val="single" w:color="auto" w:sz="2" w:space="0"/>
              <w:right w:val="single" w:color="auto" w:sz="2" w:space="0"/>
            </w:tcBorders>
            <w:vAlign w:val="center"/>
          </w:tcPr>
          <w:p w14:paraId="3B71829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2025年02月05日</w:t>
            </w:r>
          </w:p>
        </w:tc>
        <w:tc>
          <w:tcPr>
            <w:tcW w:w="1928" w:type="dxa"/>
            <w:tcBorders>
              <w:top w:val="single" w:color="auto" w:sz="2" w:space="0"/>
              <w:left w:val="single" w:color="auto" w:sz="2" w:space="0"/>
              <w:bottom w:val="single" w:color="auto" w:sz="2" w:space="0"/>
              <w:right w:val="single" w:color="auto" w:sz="2" w:space="0"/>
            </w:tcBorders>
            <w:vAlign w:val="center"/>
          </w:tcPr>
          <w:p w14:paraId="029CA3C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2026年12月25日</w:t>
            </w:r>
          </w:p>
        </w:tc>
        <w:tc>
          <w:tcPr>
            <w:tcW w:w="1928" w:type="dxa"/>
            <w:tcBorders>
              <w:top w:val="single" w:color="auto" w:sz="2" w:space="0"/>
              <w:left w:val="single" w:color="auto" w:sz="2" w:space="0"/>
              <w:bottom w:val="single" w:color="auto" w:sz="2" w:space="0"/>
              <w:right w:val="single" w:color="auto" w:sz="2" w:space="0"/>
            </w:tcBorders>
            <w:vAlign w:val="center"/>
          </w:tcPr>
          <w:p w14:paraId="77F2FBA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否</w:t>
            </w:r>
          </w:p>
        </w:tc>
      </w:tr>
    </w:tbl>
    <w:p w14:paraId="23DC470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关联担保情况说明</w:t>
      </w:r>
    </w:p>
    <w:p w14:paraId="6F68315E">
      <w:pPr>
        <w:keepNext/>
        <w:keepLines/>
        <w:spacing w:before="300" w:after="300" w:line="280" w:lineRule="exact"/>
        <w:jc w:val="left"/>
        <w:outlineLvl w:val="3"/>
        <w:rPr>
          <w:rFonts w:ascii="宋体" w:hAnsi="宋体" w:eastAsia="宋体" w:cs="宋体"/>
          <w:b/>
          <w:bCs/>
          <w:color w:val="auto"/>
          <w:sz w:val="21"/>
          <w:szCs w:val="21"/>
        </w:rPr>
      </w:pPr>
      <w:bookmarkStart w:id="380" w:name="_Toc989356"/>
      <w:r>
        <w:rPr>
          <w:rFonts w:ascii="宋体" w:hAnsi="宋体" w:eastAsia="宋体" w:cs="宋体"/>
          <w:b/>
          <w:bCs/>
          <w:color w:val="auto"/>
          <w:sz w:val="21"/>
          <w:szCs w:val="21"/>
        </w:rPr>
        <w:t>（5）关联方资金拆借</w:t>
      </w:r>
      <w:bookmarkEnd w:id="380"/>
    </w:p>
    <w:p w14:paraId="5286BA6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313E6D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45D1D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关联方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B07A3B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拆借金额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35036B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4B2C6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6EB6AD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说明</w:t>
            </w:r>
          </w:p>
        </w:tc>
      </w:tr>
      <w:tr w14:paraId="381CC9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2AB3E19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拆入</w:t>
            </w:r>
          </w:p>
        </w:tc>
      </w:tr>
      <w:tr w14:paraId="209FB2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37A26D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拆出</w:t>
            </w:r>
          </w:p>
        </w:tc>
      </w:tr>
    </w:tbl>
    <w:p w14:paraId="01D4E90B">
      <w:pPr>
        <w:keepNext/>
        <w:keepLines/>
        <w:spacing w:before="300" w:after="300" w:line="280" w:lineRule="exact"/>
        <w:jc w:val="left"/>
        <w:outlineLvl w:val="3"/>
        <w:rPr>
          <w:rFonts w:ascii="宋体" w:hAnsi="宋体" w:eastAsia="宋体" w:cs="宋体"/>
          <w:b/>
          <w:bCs/>
          <w:color w:val="auto"/>
          <w:sz w:val="21"/>
          <w:szCs w:val="21"/>
        </w:rPr>
      </w:pPr>
      <w:bookmarkStart w:id="381" w:name="_Toc989357"/>
      <w:r>
        <w:rPr>
          <w:rFonts w:ascii="宋体" w:hAnsi="宋体" w:eastAsia="宋体" w:cs="宋体"/>
          <w:b/>
          <w:bCs/>
          <w:color w:val="auto"/>
          <w:sz w:val="21"/>
          <w:szCs w:val="21"/>
        </w:rPr>
        <w:t>（6）关联方资产转让、债务重组情况</w:t>
      </w:r>
      <w:bookmarkEnd w:id="381"/>
    </w:p>
    <w:p w14:paraId="22F9DBC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31D81F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638BDC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924303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关联交易内容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89ED08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8C261D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bl>
    <w:p w14:paraId="28873A63">
      <w:pPr>
        <w:keepNext/>
        <w:keepLines/>
        <w:spacing w:before="300" w:after="300" w:line="280" w:lineRule="exact"/>
        <w:jc w:val="left"/>
        <w:outlineLvl w:val="3"/>
        <w:rPr>
          <w:rFonts w:ascii="宋体" w:hAnsi="宋体" w:eastAsia="宋体" w:cs="宋体"/>
          <w:b/>
          <w:bCs/>
          <w:color w:val="auto"/>
          <w:sz w:val="21"/>
          <w:szCs w:val="21"/>
        </w:rPr>
      </w:pPr>
      <w:bookmarkStart w:id="382" w:name="_Toc989358"/>
      <w:r>
        <w:rPr>
          <w:rFonts w:ascii="宋体" w:hAnsi="宋体" w:eastAsia="宋体" w:cs="宋体"/>
          <w:b/>
          <w:bCs/>
          <w:color w:val="auto"/>
          <w:sz w:val="21"/>
          <w:szCs w:val="21"/>
        </w:rPr>
        <w:t>（7）关键管理人员报酬</w:t>
      </w:r>
      <w:bookmarkEnd w:id="382"/>
    </w:p>
    <w:p w14:paraId="0822999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62BD5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28246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BA546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803A5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5C8441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D92547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关键管理人员薪酬</w:t>
            </w:r>
          </w:p>
        </w:tc>
        <w:tc>
          <w:tcPr>
            <w:tcW w:w="3213" w:type="dxa"/>
            <w:tcBorders>
              <w:top w:val="single" w:color="auto" w:sz="2" w:space="0"/>
              <w:left w:val="single" w:color="auto" w:sz="2" w:space="0"/>
              <w:bottom w:val="single" w:color="auto" w:sz="2" w:space="0"/>
              <w:right w:val="single" w:color="auto" w:sz="2" w:space="0"/>
            </w:tcBorders>
            <w:vAlign w:val="center"/>
          </w:tcPr>
          <w:p w14:paraId="7294C7E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5,856,992.24</w:t>
            </w:r>
          </w:p>
        </w:tc>
        <w:tc>
          <w:tcPr>
            <w:tcW w:w="3213" w:type="dxa"/>
            <w:tcBorders>
              <w:top w:val="single" w:color="auto" w:sz="2" w:space="0"/>
              <w:left w:val="single" w:color="auto" w:sz="2" w:space="0"/>
              <w:bottom w:val="single" w:color="auto" w:sz="2" w:space="0"/>
              <w:right w:val="single" w:color="auto" w:sz="2" w:space="0"/>
            </w:tcBorders>
            <w:vAlign w:val="center"/>
          </w:tcPr>
          <w:p w14:paraId="25666A9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4,645,606.53</w:t>
            </w:r>
          </w:p>
        </w:tc>
      </w:tr>
    </w:tbl>
    <w:p w14:paraId="020BB5F8">
      <w:pPr>
        <w:keepNext/>
        <w:keepLines/>
        <w:spacing w:before="300" w:after="300" w:line="280" w:lineRule="exact"/>
        <w:jc w:val="left"/>
        <w:outlineLvl w:val="3"/>
        <w:rPr>
          <w:rFonts w:ascii="宋体" w:hAnsi="宋体" w:eastAsia="宋体" w:cs="宋体"/>
          <w:b/>
          <w:bCs/>
          <w:color w:val="auto"/>
          <w:sz w:val="21"/>
          <w:szCs w:val="21"/>
        </w:rPr>
      </w:pPr>
      <w:bookmarkStart w:id="383" w:name="_Toc989359"/>
      <w:r>
        <w:rPr>
          <w:rFonts w:ascii="宋体" w:hAnsi="宋体" w:eastAsia="宋体" w:cs="宋体"/>
          <w:b/>
          <w:bCs/>
          <w:color w:val="auto"/>
          <w:sz w:val="21"/>
          <w:szCs w:val="21"/>
        </w:rPr>
        <w:t>（8）其他关联交易</w:t>
      </w:r>
      <w:bookmarkEnd w:id="383"/>
    </w:p>
    <w:tbl>
      <w:tblPr>
        <w:tblStyle w:val="5"/>
        <w:tblW w:w="95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65"/>
        <w:gridCol w:w="2653"/>
        <w:gridCol w:w="1584"/>
        <w:gridCol w:w="1480"/>
        <w:gridCol w:w="1780"/>
      </w:tblGrid>
      <w:tr w14:paraId="11B50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1" w:hRule="atLeast"/>
        </w:trPr>
        <w:tc>
          <w:tcPr>
            <w:tcW w:w="2065" w:type="dxa"/>
            <w:tcBorders>
              <w:top w:val="single" w:color="000000" w:sz="8" w:space="0"/>
              <w:left w:val="single" w:color="000000" w:sz="8" w:space="0"/>
              <w:bottom w:val="single" w:color="000000" w:sz="8" w:space="0"/>
              <w:right w:val="single" w:color="000000" w:sz="8" w:space="0"/>
            </w:tcBorders>
            <w:shd w:val="clear" w:color="auto" w:fill="auto"/>
            <w:tcMar>
              <w:top w:w="10" w:type="dxa"/>
              <w:left w:w="10" w:type="dxa"/>
              <w:right w:w="10" w:type="dxa"/>
            </w:tcMar>
            <w:vAlign w:val="center"/>
          </w:tcPr>
          <w:p w14:paraId="1E4A753D">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交易类型</w:t>
            </w:r>
          </w:p>
        </w:tc>
        <w:tc>
          <w:tcPr>
            <w:tcW w:w="2653"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36217C43">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关联方名称</w:t>
            </w:r>
          </w:p>
        </w:tc>
        <w:tc>
          <w:tcPr>
            <w:tcW w:w="1584"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69CF782C">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本期发生额</w:t>
            </w:r>
          </w:p>
        </w:tc>
        <w:tc>
          <w:tcPr>
            <w:tcW w:w="148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3D652F41">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上期发生额</w:t>
            </w:r>
          </w:p>
        </w:tc>
        <w:tc>
          <w:tcPr>
            <w:tcW w:w="1780" w:type="dxa"/>
            <w:tcBorders>
              <w:top w:val="single" w:color="auto" w:sz="8" w:space="0"/>
              <w:left w:val="nil"/>
              <w:bottom w:val="single" w:color="auto" w:sz="8" w:space="0"/>
              <w:right w:val="single" w:color="auto" w:sz="8" w:space="0"/>
            </w:tcBorders>
            <w:shd w:val="clear" w:color="auto" w:fill="auto"/>
            <w:tcMar>
              <w:top w:w="10" w:type="dxa"/>
              <w:left w:w="10" w:type="dxa"/>
              <w:right w:w="10" w:type="dxa"/>
            </w:tcMar>
            <w:vAlign w:val="center"/>
          </w:tcPr>
          <w:p w14:paraId="248F3D64">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定价方式及决策程序</w:t>
            </w:r>
          </w:p>
        </w:tc>
      </w:tr>
      <w:tr w14:paraId="54F22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065"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3828DCE5">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研究与开发项目的转移</w:t>
            </w:r>
          </w:p>
        </w:tc>
        <w:tc>
          <w:tcPr>
            <w:tcW w:w="2653"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A013BFF">
            <w:pPr>
              <w:keepNext w:val="0"/>
              <w:keepLines w:val="0"/>
              <w:widowControl/>
              <w:suppressLineNumbers w:val="0"/>
              <w:jc w:val="left"/>
              <w:textAlignment w:val="center"/>
              <w:rPr>
                <w:rFonts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 </w:t>
            </w:r>
          </w:p>
        </w:tc>
        <w:tc>
          <w:tcPr>
            <w:tcW w:w="1584"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A2631AB">
            <w:pPr>
              <w:keepNext w:val="0"/>
              <w:keepLines w:val="0"/>
              <w:widowControl/>
              <w:suppressLineNumbers w:val="0"/>
              <w:jc w:val="righ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 </w:t>
            </w:r>
          </w:p>
        </w:tc>
        <w:tc>
          <w:tcPr>
            <w:tcW w:w="14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59C82F3B">
            <w:pPr>
              <w:keepNext w:val="0"/>
              <w:keepLines w:val="0"/>
              <w:widowControl/>
              <w:suppressLineNumbers w:val="0"/>
              <w:jc w:val="righ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 </w:t>
            </w:r>
          </w:p>
        </w:tc>
        <w:tc>
          <w:tcPr>
            <w:tcW w:w="17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83AECD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w:t>
            </w:r>
          </w:p>
        </w:tc>
      </w:tr>
      <w:tr w14:paraId="6C92C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11" w:hRule="atLeast"/>
        </w:trPr>
        <w:tc>
          <w:tcPr>
            <w:tcW w:w="2065"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2A84A0D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代表企业或由企业代表另一方进行债务结算</w:t>
            </w:r>
          </w:p>
        </w:tc>
        <w:tc>
          <w:tcPr>
            <w:tcW w:w="2653"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856507F">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福建阿吉安生物科技有限公司</w:t>
            </w:r>
          </w:p>
        </w:tc>
        <w:tc>
          <w:tcPr>
            <w:tcW w:w="1584"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6FC829EB">
            <w:pPr>
              <w:keepNext w:val="0"/>
              <w:keepLines w:val="0"/>
              <w:widowControl/>
              <w:suppressLineNumbers w:val="0"/>
              <w:jc w:val="righ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54,548.36</w:t>
            </w:r>
          </w:p>
        </w:tc>
        <w:tc>
          <w:tcPr>
            <w:tcW w:w="14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7FA288B">
            <w:pPr>
              <w:keepNext w:val="0"/>
              <w:keepLines w:val="0"/>
              <w:widowControl/>
              <w:suppressLineNumbers w:val="0"/>
              <w:jc w:val="righ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23,606.32</w:t>
            </w:r>
          </w:p>
        </w:tc>
        <w:tc>
          <w:tcPr>
            <w:tcW w:w="17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2133461E">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w:t>
            </w:r>
          </w:p>
        </w:tc>
      </w:tr>
      <w:tr w14:paraId="5F98B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0" w:hRule="atLeast"/>
        </w:trPr>
        <w:tc>
          <w:tcPr>
            <w:tcW w:w="2065"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48AFE72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代表企业或由企业代表另一方进行债务结算</w:t>
            </w:r>
          </w:p>
        </w:tc>
        <w:tc>
          <w:tcPr>
            <w:tcW w:w="2653"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FC81BCD">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福州吉昂医学检验实验室有限公司</w:t>
            </w:r>
          </w:p>
        </w:tc>
        <w:tc>
          <w:tcPr>
            <w:tcW w:w="1584"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4E6B367">
            <w:pPr>
              <w:keepNext w:val="0"/>
              <w:keepLines w:val="0"/>
              <w:widowControl/>
              <w:suppressLineNumbers w:val="0"/>
              <w:jc w:val="righ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57,460.02</w:t>
            </w:r>
          </w:p>
        </w:tc>
        <w:tc>
          <w:tcPr>
            <w:tcW w:w="14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0EBEF0F">
            <w:pPr>
              <w:keepNext w:val="0"/>
              <w:keepLines w:val="0"/>
              <w:widowControl/>
              <w:suppressLineNumbers w:val="0"/>
              <w:jc w:val="righ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162,420.52</w:t>
            </w:r>
          </w:p>
        </w:tc>
        <w:tc>
          <w:tcPr>
            <w:tcW w:w="17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3653273A">
            <w:pPr>
              <w:keepNext w:val="0"/>
              <w:keepLines w:val="0"/>
              <w:widowControl/>
              <w:suppressLineNumbers w:val="0"/>
              <w:jc w:val="left"/>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 </w:t>
            </w:r>
          </w:p>
        </w:tc>
      </w:tr>
      <w:tr w14:paraId="54168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1" w:hRule="atLeast"/>
        </w:trPr>
        <w:tc>
          <w:tcPr>
            <w:tcW w:w="2065" w:type="dxa"/>
            <w:tcBorders>
              <w:top w:val="nil"/>
              <w:left w:val="single" w:color="auto" w:sz="8" w:space="0"/>
              <w:bottom w:val="single" w:color="auto" w:sz="8" w:space="0"/>
              <w:right w:val="single" w:color="auto" w:sz="8" w:space="0"/>
            </w:tcBorders>
            <w:shd w:val="clear" w:color="auto" w:fill="auto"/>
            <w:tcMar>
              <w:top w:w="10" w:type="dxa"/>
              <w:left w:w="10" w:type="dxa"/>
              <w:right w:w="10" w:type="dxa"/>
            </w:tcMar>
            <w:vAlign w:val="center"/>
          </w:tcPr>
          <w:p w14:paraId="1320CF29">
            <w:pPr>
              <w:keepNext w:val="0"/>
              <w:keepLines w:val="0"/>
              <w:widowControl/>
              <w:suppressLineNumbers w:val="0"/>
              <w:jc w:val="center"/>
              <w:textAlignment w:val="center"/>
              <w:rPr>
                <w:rFonts w:hint="eastAsia" w:ascii="宋体" w:hAnsi="宋体" w:eastAsia="宋体" w:cs="宋体"/>
                <w:i w:val="0"/>
                <w:iCs w:val="0"/>
                <w:color w:val="auto"/>
                <w:sz w:val="18"/>
                <w:szCs w:val="18"/>
                <w:u w:val="none"/>
              </w:rPr>
            </w:pPr>
            <w:r>
              <w:rPr>
                <w:rFonts w:hint="eastAsia" w:ascii="宋体" w:hAnsi="宋体" w:eastAsia="宋体" w:cs="宋体"/>
                <w:i w:val="0"/>
                <w:iCs w:val="0"/>
                <w:color w:val="auto"/>
                <w:kern w:val="0"/>
                <w:sz w:val="18"/>
                <w:szCs w:val="18"/>
                <w:u w:val="none"/>
                <w:lang w:val="en-US" w:eastAsia="zh-CN" w:bidi="ar"/>
              </w:rPr>
              <w:t>合计</w:t>
            </w:r>
          </w:p>
        </w:tc>
        <w:tc>
          <w:tcPr>
            <w:tcW w:w="2653"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11625A60">
            <w:pPr>
              <w:keepNext w:val="0"/>
              <w:keepLines w:val="0"/>
              <w:widowControl/>
              <w:suppressLineNumbers w:val="0"/>
              <w:jc w:val="lef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 </w:t>
            </w:r>
          </w:p>
        </w:tc>
        <w:tc>
          <w:tcPr>
            <w:tcW w:w="1584"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023929B9">
            <w:pPr>
              <w:keepNext w:val="0"/>
              <w:keepLines w:val="0"/>
              <w:widowControl/>
              <w:suppressLineNumbers w:val="0"/>
              <w:jc w:val="righ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112,008.38</w:t>
            </w:r>
          </w:p>
        </w:tc>
        <w:tc>
          <w:tcPr>
            <w:tcW w:w="14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CFCF4D3">
            <w:pPr>
              <w:keepNext w:val="0"/>
              <w:keepLines w:val="0"/>
              <w:widowControl/>
              <w:suppressLineNumbers w:val="0"/>
              <w:jc w:val="righ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186,026.84</w:t>
            </w:r>
          </w:p>
        </w:tc>
        <w:tc>
          <w:tcPr>
            <w:tcW w:w="1780" w:type="dxa"/>
            <w:tcBorders>
              <w:top w:val="nil"/>
              <w:left w:val="nil"/>
              <w:bottom w:val="single" w:color="auto" w:sz="8" w:space="0"/>
              <w:right w:val="single" w:color="auto" w:sz="8" w:space="0"/>
            </w:tcBorders>
            <w:shd w:val="clear" w:color="auto" w:fill="auto"/>
            <w:tcMar>
              <w:top w:w="10" w:type="dxa"/>
              <w:left w:w="10" w:type="dxa"/>
              <w:right w:w="10" w:type="dxa"/>
            </w:tcMar>
            <w:vAlign w:val="center"/>
          </w:tcPr>
          <w:p w14:paraId="78B8630A">
            <w:pPr>
              <w:keepNext w:val="0"/>
              <w:keepLines w:val="0"/>
              <w:widowControl/>
              <w:suppressLineNumbers w:val="0"/>
              <w:jc w:val="left"/>
              <w:textAlignment w:val="center"/>
              <w:rPr>
                <w:rFonts w:hint="default" w:ascii="Arial Narrow" w:hAnsi="Arial Narrow" w:eastAsia="Arial Narrow" w:cs="Arial Narrow"/>
                <w:i w:val="0"/>
                <w:iCs w:val="0"/>
                <w:color w:val="auto"/>
                <w:sz w:val="18"/>
                <w:szCs w:val="18"/>
                <w:u w:val="none"/>
              </w:rPr>
            </w:pPr>
            <w:r>
              <w:rPr>
                <w:rFonts w:hint="default" w:ascii="Arial Narrow" w:hAnsi="Arial Narrow" w:eastAsia="Arial Narrow" w:cs="Arial Narrow"/>
                <w:i w:val="0"/>
                <w:iCs w:val="0"/>
                <w:color w:val="auto"/>
                <w:kern w:val="0"/>
                <w:sz w:val="18"/>
                <w:szCs w:val="18"/>
                <w:u w:val="none"/>
                <w:lang w:val="en-US" w:eastAsia="zh-CN" w:bidi="ar"/>
              </w:rPr>
              <w:t> </w:t>
            </w:r>
          </w:p>
        </w:tc>
      </w:tr>
    </w:tbl>
    <w:p w14:paraId="58A6401B">
      <w:pPr>
        <w:keepNext/>
        <w:keepLines/>
        <w:spacing w:before="300" w:after="300" w:line="280" w:lineRule="exact"/>
        <w:jc w:val="left"/>
        <w:outlineLvl w:val="2"/>
        <w:rPr>
          <w:rFonts w:ascii="宋体" w:hAnsi="宋体" w:eastAsia="宋体" w:cs="宋体"/>
          <w:b/>
          <w:bCs/>
          <w:color w:val="auto"/>
          <w:sz w:val="21"/>
          <w:szCs w:val="21"/>
        </w:rPr>
      </w:pPr>
      <w:bookmarkStart w:id="384" w:name="_Toc989360"/>
      <w:r>
        <w:rPr>
          <w:rFonts w:ascii="宋体" w:hAnsi="宋体" w:eastAsia="宋体" w:cs="宋体"/>
          <w:b/>
          <w:bCs/>
          <w:color w:val="auto"/>
          <w:sz w:val="21"/>
          <w:szCs w:val="21"/>
        </w:rPr>
        <w:t>6、关联方应收应付款项</w:t>
      </w:r>
      <w:bookmarkEnd w:id="384"/>
    </w:p>
    <w:p w14:paraId="7FA03CAB">
      <w:pPr>
        <w:keepNext/>
        <w:keepLines/>
        <w:spacing w:before="300" w:after="300" w:line="280" w:lineRule="exact"/>
        <w:jc w:val="left"/>
        <w:outlineLvl w:val="3"/>
        <w:rPr>
          <w:rFonts w:ascii="宋体" w:hAnsi="宋体" w:eastAsia="宋体" w:cs="宋体"/>
          <w:b/>
          <w:bCs/>
          <w:color w:val="auto"/>
          <w:sz w:val="21"/>
          <w:szCs w:val="21"/>
        </w:rPr>
      </w:pPr>
      <w:bookmarkStart w:id="385" w:name="_Toc989361"/>
      <w:r>
        <w:rPr>
          <w:rFonts w:ascii="宋体" w:hAnsi="宋体" w:eastAsia="宋体" w:cs="宋体"/>
          <w:b/>
          <w:bCs/>
          <w:color w:val="auto"/>
          <w:sz w:val="21"/>
          <w:szCs w:val="21"/>
        </w:rPr>
        <w:t>（1）应收项目</w:t>
      </w:r>
      <w:bookmarkEnd w:id="385"/>
    </w:p>
    <w:p w14:paraId="4DD97C7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22DF22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3BF44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项目名称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4E74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关联方</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E76C4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0210F8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7DBD49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49DCAE7">
            <w:pPr>
              <w:rPr>
                <w:color w:val="auto"/>
              </w:rPr>
            </w:pP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C1DAAA0">
            <w:pPr>
              <w:rPr>
                <w:color w:val="auto"/>
              </w:rPr>
            </w:pP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62CEE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923247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5DB90A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0143A7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r>
      <w:tr w14:paraId="394378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41D8E7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应收账款</w:t>
            </w:r>
          </w:p>
        </w:tc>
        <w:tc>
          <w:tcPr>
            <w:tcW w:w="1606" w:type="dxa"/>
            <w:tcBorders>
              <w:top w:val="single" w:color="auto" w:sz="2" w:space="0"/>
              <w:left w:val="single" w:color="auto" w:sz="2" w:space="0"/>
              <w:bottom w:val="single" w:color="auto" w:sz="2" w:space="0"/>
              <w:right w:val="single" w:color="auto" w:sz="2" w:space="0"/>
            </w:tcBorders>
            <w:vAlign w:val="center"/>
          </w:tcPr>
          <w:p w14:paraId="7FFB633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福建阿吉安生物科技有限公司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585098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181,850.00</w:t>
            </w:r>
          </w:p>
        </w:tc>
        <w:tc>
          <w:tcPr>
            <w:tcW w:w="1606" w:type="dxa"/>
            <w:tcBorders>
              <w:top w:val="single" w:color="auto" w:sz="2" w:space="0"/>
              <w:left w:val="single" w:color="auto" w:sz="2" w:space="0"/>
              <w:bottom w:val="single" w:color="auto" w:sz="2" w:space="0"/>
              <w:right w:val="single" w:color="auto" w:sz="2" w:space="0"/>
            </w:tcBorders>
            <w:vAlign w:val="center"/>
          </w:tcPr>
          <w:p w14:paraId="78915D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9,092.50</w:t>
            </w:r>
          </w:p>
        </w:tc>
        <w:tc>
          <w:tcPr>
            <w:tcW w:w="1606" w:type="dxa"/>
            <w:tcBorders>
              <w:top w:val="single" w:color="auto" w:sz="2" w:space="0"/>
              <w:left w:val="single" w:color="auto" w:sz="2" w:space="0"/>
              <w:bottom w:val="single" w:color="auto" w:sz="2" w:space="0"/>
              <w:right w:val="single" w:color="auto" w:sz="2" w:space="0"/>
            </w:tcBorders>
            <w:vAlign w:val="center"/>
          </w:tcPr>
          <w:p w14:paraId="414F17D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140,268.45</w:t>
            </w:r>
          </w:p>
        </w:tc>
        <w:tc>
          <w:tcPr>
            <w:tcW w:w="1606" w:type="dxa"/>
            <w:tcBorders>
              <w:top w:val="single" w:color="auto" w:sz="2" w:space="0"/>
              <w:left w:val="single" w:color="auto" w:sz="2" w:space="0"/>
              <w:bottom w:val="single" w:color="auto" w:sz="2" w:space="0"/>
              <w:right w:val="single" w:color="auto" w:sz="2" w:space="0"/>
            </w:tcBorders>
            <w:vAlign w:val="center"/>
          </w:tcPr>
          <w:p w14:paraId="1702158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7,013.42</w:t>
            </w:r>
          </w:p>
        </w:tc>
      </w:tr>
      <w:tr w14:paraId="1765B5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AA79E5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应收账款</w:t>
            </w:r>
          </w:p>
        </w:tc>
        <w:tc>
          <w:tcPr>
            <w:tcW w:w="1606" w:type="dxa"/>
            <w:tcBorders>
              <w:top w:val="single" w:color="auto" w:sz="2" w:space="0"/>
              <w:left w:val="single" w:color="auto" w:sz="2" w:space="0"/>
              <w:bottom w:val="single" w:color="auto" w:sz="2" w:space="0"/>
              <w:right w:val="single" w:color="auto" w:sz="2" w:space="0"/>
            </w:tcBorders>
            <w:vAlign w:val="center"/>
          </w:tcPr>
          <w:p w14:paraId="75C6266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福州吉昂医学检验实验室有限公司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39FDFCA">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B51DCDF">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ED888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116,833.12</w:t>
            </w:r>
          </w:p>
        </w:tc>
        <w:tc>
          <w:tcPr>
            <w:tcW w:w="1606" w:type="dxa"/>
            <w:tcBorders>
              <w:top w:val="single" w:color="auto" w:sz="2" w:space="0"/>
              <w:left w:val="single" w:color="auto" w:sz="2" w:space="0"/>
              <w:bottom w:val="single" w:color="auto" w:sz="2" w:space="0"/>
              <w:right w:val="single" w:color="auto" w:sz="2" w:space="0"/>
            </w:tcBorders>
            <w:vAlign w:val="center"/>
          </w:tcPr>
          <w:p w14:paraId="27DEBF0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5,841.66</w:t>
            </w:r>
          </w:p>
        </w:tc>
      </w:tr>
      <w:tr w14:paraId="16DD96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4F0D3B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应收账款</w:t>
            </w:r>
          </w:p>
        </w:tc>
        <w:tc>
          <w:tcPr>
            <w:tcW w:w="1606" w:type="dxa"/>
            <w:tcBorders>
              <w:top w:val="single" w:color="auto" w:sz="2" w:space="0"/>
              <w:left w:val="single" w:color="auto" w:sz="2" w:space="0"/>
              <w:bottom w:val="single" w:color="auto" w:sz="2" w:space="0"/>
              <w:right w:val="single" w:color="auto" w:sz="2" w:space="0"/>
            </w:tcBorders>
            <w:vAlign w:val="center"/>
          </w:tcPr>
          <w:p w14:paraId="4527291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福建瑞泰来医药科技有限公司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79F20B9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1,250,800.00</w:t>
            </w:r>
          </w:p>
        </w:tc>
        <w:tc>
          <w:tcPr>
            <w:tcW w:w="1606" w:type="dxa"/>
            <w:tcBorders>
              <w:top w:val="single" w:color="auto" w:sz="2" w:space="0"/>
              <w:left w:val="single" w:color="auto" w:sz="2" w:space="0"/>
              <w:bottom w:val="single" w:color="auto" w:sz="2" w:space="0"/>
              <w:right w:val="single" w:color="auto" w:sz="2" w:space="0"/>
            </w:tcBorders>
            <w:vAlign w:val="center"/>
          </w:tcPr>
          <w:p w14:paraId="5EF2CED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62,540.00</w:t>
            </w:r>
          </w:p>
        </w:tc>
        <w:tc>
          <w:tcPr>
            <w:tcW w:w="1606" w:type="dxa"/>
            <w:tcBorders>
              <w:top w:val="single" w:color="auto" w:sz="2" w:space="0"/>
              <w:left w:val="single" w:color="auto" w:sz="2" w:space="0"/>
              <w:bottom w:val="single" w:color="auto" w:sz="2" w:space="0"/>
              <w:right w:val="single" w:color="auto" w:sz="2" w:space="0"/>
            </w:tcBorders>
            <w:vAlign w:val="center"/>
          </w:tcPr>
          <w:p w14:paraId="7BD4D18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1,250,800.00</w:t>
            </w:r>
          </w:p>
        </w:tc>
        <w:tc>
          <w:tcPr>
            <w:tcW w:w="1606" w:type="dxa"/>
            <w:tcBorders>
              <w:top w:val="single" w:color="auto" w:sz="2" w:space="0"/>
              <w:left w:val="single" w:color="auto" w:sz="2" w:space="0"/>
              <w:bottom w:val="single" w:color="auto" w:sz="2" w:space="0"/>
              <w:right w:val="single" w:color="auto" w:sz="2" w:space="0"/>
            </w:tcBorders>
            <w:vAlign w:val="center"/>
          </w:tcPr>
          <w:p w14:paraId="3BB2E69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62,540.00</w:t>
            </w:r>
          </w:p>
        </w:tc>
      </w:tr>
      <w:tr w14:paraId="50EB6D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A8AAE2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预付账款</w:t>
            </w:r>
          </w:p>
        </w:tc>
        <w:tc>
          <w:tcPr>
            <w:tcW w:w="1606" w:type="dxa"/>
            <w:tcBorders>
              <w:top w:val="single" w:color="auto" w:sz="2" w:space="0"/>
              <w:left w:val="single" w:color="auto" w:sz="2" w:space="0"/>
              <w:bottom w:val="single" w:color="auto" w:sz="2" w:space="0"/>
              <w:right w:val="single" w:color="auto" w:sz="2" w:space="0"/>
            </w:tcBorders>
            <w:vAlign w:val="center"/>
          </w:tcPr>
          <w:p w14:paraId="20F7D4E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福建瑞泰来医药科技有限公司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132D66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400,000.00</w:t>
            </w:r>
          </w:p>
        </w:tc>
        <w:tc>
          <w:tcPr>
            <w:tcW w:w="1606" w:type="dxa"/>
            <w:tcBorders>
              <w:top w:val="single" w:color="auto" w:sz="2" w:space="0"/>
              <w:left w:val="single" w:color="auto" w:sz="2" w:space="0"/>
              <w:bottom w:val="single" w:color="auto" w:sz="2" w:space="0"/>
              <w:right w:val="single" w:color="auto" w:sz="2" w:space="0"/>
            </w:tcBorders>
            <w:vAlign w:val="center"/>
          </w:tcPr>
          <w:p w14:paraId="3A1AA1FA">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12F437E">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14DEE09">
            <w:pPr>
              <w:spacing w:before="0" w:after="0" w:line="240" w:lineRule="exact"/>
              <w:jc w:val="right"/>
              <w:rPr>
                <w:rFonts w:ascii="宋体" w:hAnsi="宋体" w:eastAsia="宋体" w:cs="宋体"/>
                <w:color w:val="auto"/>
                <w:sz w:val="18"/>
                <w:szCs w:val="18"/>
              </w:rPr>
            </w:pPr>
          </w:p>
        </w:tc>
      </w:tr>
    </w:tbl>
    <w:p w14:paraId="6C9AFD60">
      <w:pPr>
        <w:keepNext/>
        <w:keepLines/>
        <w:spacing w:before="300" w:after="300" w:line="280" w:lineRule="exact"/>
        <w:jc w:val="left"/>
        <w:outlineLvl w:val="3"/>
        <w:rPr>
          <w:rFonts w:ascii="宋体" w:hAnsi="宋体" w:eastAsia="宋体" w:cs="宋体"/>
          <w:b/>
          <w:bCs/>
          <w:color w:val="auto"/>
          <w:sz w:val="21"/>
          <w:szCs w:val="21"/>
        </w:rPr>
      </w:pPr>
      <w:bookmarkStart w:id="386" w:name="_Toc989362"/>
      <w:r>
        <w:rPr>
          <w:rFonts w:ascii="宋体" w:hAnsi="宋体" w:eastAsia="宋体" w:cs="宋体"/>
          <w:b/>
          <w:bCs/>
          <w:color w:val="auto"/>
          <w:sz w:val="21"/>
          <w:szCs w:val="21"/>
        </w:rPr>
        <w:t>（2）应付项目</w:t>
      </w:r>
      <w:bookmarkEnd w:id="386"/>
    </w:p>
    <w:p w14:paraId="680453C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418D56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A2EC28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B70DBC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512590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2AFFA5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期初账面余额</w:t>
            </w:r>
          </w:p>
        </w:tc>
      </w:tr>
      <w:tr w14:paraId="09FF43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B8C34C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应付账款</w:t>
            </w:r>
          </w:p>
        </w:tc>
        <w:tc>
          <w:tcPr>
            <w:tcW w:w="2410" w:type="dxa"/>
            <w:tcBorders>
              <w:top w:val="single" w:color="auto" w:sz="2" w:space="0"/>
              <w:left w:val="single" w:color="auto" w:sz="2" w:space="0"/>
              <w:bottom w:val="single" w:color="auto" w:sz="2" w:space="0"/>
              <w:right w:val="single" w:color="auto" w:sz="2" w:space="0"/>
            </w:tcBorders>
            <w:vAlign w:val="center"/>
          </w:tcPr>
          <w:p w14:paraId="53157F1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福建奥龙传媒有限公司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6378B08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29,200.00</w:t>
            </w:r>
          </w:p>
        </w:tc>
        <w:tc>
          <w:tcPr>
            <w:tcW w:w="2410" w:type="dxa"/>
            <w:tcBorders>
              <w:top w:val="single" w:color="auto" w:sz="2" w:space="0"/>
              <w:left w:val="single" w:color="auto" w:sz="2" w:space="0"/>
              <w:bottom w:val="single" w:color="auto" w:sz="2" w:space="0"/>
              <w:right w:val="single" w:color="auto" w:sz="2" w:space="0"/>
            </w:tcBorders>
            <w:vAlign w:val="center"/>
          </w:tcPr>
          <w:p w14:paraId="4633FD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4,800.00</w:t>
            </w:r>
          </w:p>
        </w:tc>
      </w:tr>
      <w:tr w14:paraId="053BA0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335220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应付账款</w:t>
            </w:r>
          </w:p>
        </w:tc>
        <w:tc>
          <w:tcPr>
            <w:tcW w:w="2410" w:type="dxa"/>
            <w:tcBorders>
              <w:top w:val="single" w:color="auto" w:sz="2" w:space="0"/>
              <w:left w:val="single" w:color="auto" w:sz="2" w:space="0"/>
              <w:bottom w:val="single" w:color="auto" w:sz="2" w:space="0"/>
              <w:right w:val="single" w:color="auto" w:sz="2" w:space="0"/>
            </w:tcBorders>
            <w:vAlign w:val="center"/>
          </w:tcPr>
          <w:p w14:paraId="5972137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福建瑞泰来医药科技有限公司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245BAC0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1,969,434.00</w:t>
            </w:r>
          </w:p>
        </w:tc>
        <w:tc>
          <w:tcPr>
            <w:tcW w:w="2410" w:type="dxa"/>
            <w:tcBorders>
              <w:top w:val="single" w:color="auto" w:sz="2" w:space="0"/>
              <w:left w:val="single" w:color="auto" w:sz="2" w:space="0"/>
              <w:bottom w:val="single" w:color="auto" w:sz="2" w:space="0"/>
              <w:right w:val="single" w:color="auto" w:sz="2" w:space="0"/>
            </w:tcBorders>
            <w:vAlign w:val="center"/>
          </w:tcPr>
          <w:p w14:paraId="0BBEE4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3,273,584.94</w:t>
            </w:r>
          </w:p>
        </w:tc>
      </w:tr>
      <w:tr w14:paraId="6620FD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7CF9C3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应付账款</w:t>
            </w:r>
          </w:p>
        </w:tc>
        <w:tc>
          <w:tcPr>
            <w:tcW w:w="2410" w:type="dxa"/>
            <w:tcBorders>
              <w:top w:val="single" w:color="auto" w:sz="2" w:space="0"/>
              <w:left w:val="single" w:color="auto" w:sz="2" w:space="0"/>
              <w:bottom w:val="single" w:color="auto" w:sz="2" w:space="0"/>
              <w:right w:val="single" w:color="auto" w:sz="2" w:space="0"/>
            </w:tcBorders>
            <w:vAlign w:val="center"/>
          </w:tcPr>
          <w:p w14:paraId="5C20AE4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黄伏虎</w:t>
            </w:r>
          </w:p>
        </w:tc>
        <w:tc>
          <w:tcPr>
            <w:tcW w:w="2410" w:type="dxa"/>
            <w:tcBorders>
              <w:top w:val="single" w:color="auto" w:sz="2" w:space="0"/>
              <w:left w:val="single" w:color="auto" w:sz="2" w:space="0"/>
              <w:bottom w:val="single" w:color="auto" w:sz="2" w:space="0"/>
              <w:right w:val="single" w:color="auto" w:sz="2" w:space="0"/>
            </w:tcBorders>
            <w:vAlign w:val="center"/>
          </w:tcPr>
          <w:p w14:paraId="4758E7A7">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79B7E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46,392.40</w:t>
            </w:r>
          </w:p>
        </w:tc>
      </w:tr>
      <w:tr w14:paraId="2C4F8F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F4715B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其他应付款</w:t>
            </w:r>
          </w:p>
        </w:tc>
        <w:tc>
          <w:tcPr>
            <w:tcW w:w="2410" w:type="dxa"/>
            <w:tcBorders>
              <w:top w:val="single" w:color="auto" w:sz="2" w:space="0"/>
              <w:left w:val="single" w:color="auto" w:sz="2" w:space="0"/>
              <w:bottom w:val="single" w:color="auto" w:sz="2" w:space="0"/>
              <w:right w:val="single" w:color="auto" w:sz="2" w:space="0"/>
            </w:tcBorders>
            <w:vAlign w:val="center"/>
          </w:tcPr>
          <w:p w14:paraId="696DC1A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福建阿吉安生物科技有限公司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3C7EA7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61,760.00</w:t>
            </w:r>
          </w:p>
        </w:tc>
        <w:tc>
          <w:tcPr>
            <w:tcW w:w="2410" w:type="dxa"/>
            <w:tcBorders>
              <w:top w:val="single" w:color="auto" w:sz="2" w:space="0"/>
              <w:left w:val="single" w:color="auto" w:sz="2" w:space="0"/>
              <w:bottom w:val="single" w:color="auto" w:sz="2" w:space="0"/>
              <w:right w:val="single" w:color="auto" w:sz="2" w:space="0"/>
            </w:tcBorders>
            <w:vAlign w:val="center"/>
          </w:tcPr>
          <w:p w14:paraId="00BB506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61,760.00</w:t>
            </w:r>
          </w:p>
        </w:tc>
      </w:tr>
      <w:tr w14:paraId="39A45A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B35CBA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其他应付款</w:t>
            </w:r>
          </w:p>
        </w:tc>
        <w:tc>
          <w:tcPr>
            <w:tcW w:w="2410" w:type="dxa"/>
            <w:tcBorders>
              <w:top w:val="single" w:color="auto" w:sz="2" w:space="0"/>
              <w:left w:val="single" w:color="auto" w:sz="2" w:space="0"/>
              <w:bottom w:val="single" w:color="auto" w:sz="2" w:space="0"/>
              <w:right w:val="single" w:color="auto" w:sz="2" w:space="0"/>
            </w:tcBorders>
            <w:vAlign w:val="center"/>
          </w:tcPr>
          <w:p w14:paraId="6134274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福州吉昂医学检验实验室有限公司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14EFE5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40,640.00</w:t>
            </w:r>
          </w:p>
        </w:tc>
        <w:tc>
          <w:tcPr>
            <w:tcW w:w="2410" w:type="dxa"/>
            <w:tcBorders>
              <w:top w:val="single" w:color="auto" w:sz="2" w:space="0"/>
              <w:left w:val="single" w:color="auto" w:sz="2" w:space="0"/>
              <w:bottom w:val="single" w:color="auto" w:sz="2" w:space="0"/>
              <w:right w:val="single" w:color="auto" w:sz="2" w:space="0"/>
            </w:tcBorders>
            <w:vAlign w:val="center"/>
          </w:tcPr>
          <w:p w14:paraId="62AABD5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40,640.00</w:t>
            </w:r>
          </w:p>
        </w:tc>
      </w:tr>
      <w:tr w14:paraId="29CE50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08C0D2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预收账款</w:t>
            </w:r>
          </w:p>
        </w:tc>
        <w:tc>
          <w:tcPr>
            <w:tcW w:w="2410" w:type="dxa"/>
            <w:tcBorders>
              <w:top w:val="single" w:color="auto" w:sz="2" w:space="0"/>
              <w:left w:val="single" w:color="auto" w:sz="2" w:space="0"/>
              <w:bottom w:val="single" w:color="auto" w:sz="2" w:space="0"/>
              <w:right w:val="single" w:color="auto" w:sz="2" w:space="0"/>
            </w:tcBorders>
            <w:vAlign w:val="center"/>
          </w:tcPr>
          <w:p w14:paraId="709BBDC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福州奥泰五期投资合伙企业（有限合伙）</w:t>
            </w:r>
          </w:p>
        </w:tc>
        <w:tc>
          <w:tcPr>
            <w:tcW w:w="2410" w:type="dxa"/>
            <w:tcBorders>
              <w:top w:val="single" w:color="auto" w:sz="2" w:space="0"/>
              <w:left w:val="single" w:color="auto" w:sz="2" w:space="0"/>
              <w:bottom w:val="single" w:color="auto" w:sz="2" w:space="0"/>
              <w:right w:val="single" w:color="auto" w:sz="2" w:space="0"/>
            </w:tcBorders>
            <w:vAlign w:val="center"/>
          </w:tcPr>
          <w:p w14:paraId="132E4A9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963.31</w:t>
            </w:r>
          </w:p>
        </w:tc>
        <w:tc>
          <w:tcPr>
            <w:tcW w:w="2410" w:type="dxa"/>
            <w:tcBorders>
              <w:top w:val="single" w:color="auto" w:sz="2" w:space="0"/>
              <w:left w:val="single" w:color="auto" w:sz="2" w:space="0"/>
              <w:bottom w:val="single" w:color="auto" w:sz="2" w:space="0"/>
              <w:right w:val="single" w:color="auto" w:sz="2" w:space="0"/>
            </w:tcBorders>
            <w:vAlign w:val="center"/>
          </w:tcPr>
          <w:p w14:paraId="44DBE0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2,889.91</w:t>
            </w:r>
          </w:p>
        </w:tc>
      </w:tr>
      <w:tr w14:paraId="45582D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5D6840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预收账款</w:t>
            </w:r>
          </w:p>
        </w:tc>
        <w:tc>
          <w:tcPr>
            <w:tcW w:w="2410" w:type="dxa"/>
            <w:tcBorders>
              <w:top w:val="single" w:color="auto" w:sz="2" w:space="0"/>
              <w:left w:val="single" w:color="auto" w:sz="2" w:space="0"/>
              <w:bottom w:val="single" w:color="auto" w:sz="2" w:space="0"/>
              <w:right w:val="single" w:color="auto" w:sz="2" w:space="0"/>
            </w:tcBorders>
            <w:vAlign w:val="center"/>
          </w:tcPr>
          <w:p w14:paraId="027C897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福州奥泰六期投资合伙企业（有限合伙）</w:t>
            </w:r>
          </w:p>
        </w:tc>
        <w:tc>
          <w:tcPr>
            <w:tcW w:w="2410" w:type="dxa"/>
            <w:tcBorders>
              <w:top w:val="single" w:color="auto" w:sz="2" w:space="0"/>
              <w:left w:val="single" w:color="auto" w:sz="2" w:space="0"/>
              <w:bottom w:val="single" w:color="auto" w:sz="2" w:space="0"/>
              <w:right w:val="single" w:color="auto" w:sz="2" w:space="0"/>
            </w:tcBorders>
            <w:vAlign w:val="center"/>
          </w:tcPr>
          <w:p w14:paraId="6455C1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963.31</w:t>
            </w:r>
          </w:p>
        </w:tc>
        <w:tc>
          <w:tcPr>
            <w:tcW w:w="2410" w:type="dxa"/>
            <w:tcBorders>
              <w:top w:val="single" w:color="auto" w:sz="2" w:space="0"/>
              <w:left w:val="single" w:color="auto" w:sz="2" w:space="0"/>
              <w:bottom w:val="single" w:color="auto" w:sz="2" w:space="0"/>
              <w:right w:val="single" w:color="auto" w:sz="2" w:space="0"/>
            </w:tcBorders>
            <w:vAlign w:val="center"/>
          </w:tcPr>
          <w:p w14:paraId="6F4F29B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2,889.91</w:t>
            </w:r>
          </w:p>
        </w:tc>
      </w:tr>
      <w:tr w14:paraId="68753E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8A9245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预收账款</w:t>
            </w:r>
          </w:p>
        </w:tc>
        <w:tc>
          <w:tcPr>
            <w:tcW w:w="2410" w:type="dxa"/>
            <w:tcBorders>
              <w:top w:val="single" w:color="auto" w:sz="2" w:space="0"/>
              <w:left w:val="single" w:color="auto" w:sz="2" w:space="0"/>
              <w:bottom w:val="single" w:color="auto" w:sz="2" w:space="0"/>
              <w:right w:val="single" w:color="auto" w:sz="2" w:space="0"/>
            </w:tcBorders>
            <w:vAlign w:val="center"/>
          </w:tcPr>
          <w:p w14:paraId="313A3ED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福州奥泰九期投资合伙企业（有限合伙）</w:t>
            </w:r>
          </w:p>
        </w:tc>
        <w:tc>
          <w:tcPr>
            <w:tcW w:w="2410" w:type="dxa"/>
            <w:tcBorders>
              <w:top w:val="single" w:color="auto" w:sz="2" w:space="0"/>
              <w:left w:val="single" w:color="auto" w:sz="2" w:space="0"/>
              <w:bottom w:val="single" w:color="auto" w:sz="2" w:space="0"/>
              <w:right w:val="single" w:color="auto" w:sz="2" w:space="0"/>
            </w:tcBorders>
            <w:vAlign w:val="center"/>
          </w:tcPr>
          <w:p w14:paraId="2A05024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1,926.60</w:t>
            </w:r>
          </w:p>
        </w:tc>
        <w:tc>
          <w:tcPr>
            <w:tcW w:w="2410" w:type="dxa"/>
            <w:tcBorders>
              <w:top w:val="single" w:color="auto" w:sz="2" w:space="0"/>
              <w:left w:val="single" w:color="auto" w:sz="2" w:space="0"/>
              <w:bottom w:val="single" w:color="auto" w:sz="2" w:space="0"/>
              <w:right w:val="single" w:color="auto" w:sz="2" w:space="0"/>
            </w:tcBorders>
            <w:vAlign w:val="center"/>
          </w:tcPr>
          <w:p w14:paraId="715B868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bl>
    <w:p w14:paraId="75C8C856">
      <w:pPr>
        <w:keepNext/>
        <w:keepLines/>
        <w:spacing w:before="300" w:after="300" w:line="280" w:lineRule="exact"/>
        <w:jc w:val="left"/>
        <w:outlineLvl w:val="2"/>
        <w:rPr>
          <w:rFonts w:ascii="宋体" w:hAnsi="宋体" w:eastAsia="宋体" w:cs="宋体"/>
          <w:b/>
          <w:bCs/>
          <w:color w:val="auto"/>
          <w:sz w:val="21"/>
          <w:szCs w:val="21"/>
        </w:rPr>
      </w:pPr>
      <w:bookmarkStart w:id="387" w:name="_Toc989363"/>
      <w:r>
        <w:rPr>
          <w:rFonts w:ascii="宋体" w:hAnsi="宋体" w:eastAsia="宋体" w:cs="宋体"/>
          <w:b/>
          <w:bCs/>
          <w:color w:val="auto"/>
          <w:sz w:val="21"/>
          <w:szCs w:val="21"/>
        </w:rPr>
        <w:t>7、关联方承诺</w:t>
      </w:r>
      <w:bookmarkEnd w:id="387"/>
    </w:p>
    <w:p w14:paraId="2AD2D70D">
      <w:pPr>
        <w:keepNext/>
        <w:keepLines/>
        <w:spacing w:before="300" w:after="300" w:line="280" w:lineRule="exact"/>
        <w:jc w:val="left"/>
        <w:outlineLvl w:val="2"/>
        <w:rPr>
          <w:rFonts w:ascii="宋体" w:hAnsi="宋体" w:eastAsia="宋体" w:cs="宋体"/>
          <w:b/>
          <w:bCs/>
          <w:color w:val="auto"/>
          <w:sz w:val="21"/>
          <w:szCs w:val="21"/>
        </w:rPr>
      </w:pPr>
      <w:bookmarkStart w:id="388" w:name="_Toc989364"/>
      <w:r>
        <w:rPr>
          <w:rFonts w:ascii="宋体" w:hAnsi="宋体" w:eastAsia="宋体" w:cs="宋体"/>
          <w:b/>
          <w:bCs/>
          <w:color w:val="auto"/>
          <w:sz w:val="21"/>
          <w:szCs w:val="21"/>
        </w:rPr>
        <w:t>8、其他</w:t>
      </w:r>
      <w:bookmarkEnd w:id="388"/>
    </w:p>
    <w:p w14:paraId="5DAA1385">
      <w:pPr>
        <w:keepNext/>
        <w:keepLines/>
        <w:spacing w:before="300" w:after="300" w:line="320" w:lineRule="exact"/>
        <w:jc w:val="left"/>
        <w:outlineLvl w:val="1"/>
        <w:rPr>
          <w:rFonts w:ascii="宋体" w:hAnsi="宋体" w:eastAsia="宋体" w:cs="宋体"/>
          <w:b/>
          <w:bCs/>
          <w:color w:val="auto"/>
          <w:sz w:val="24"/>
          <w:szCs w:val="24"/>
        </w:rPr>
      </w:pPr>
      <w:bookmarkStart w:id="389" w:name="_Toc989365"/>
      <w:r>
        <w:rPr>
          <w:rFonts w:ascii="宋体" w:hAnsi="宋体" w:eastAsia="宋体" w:cs="宋体"/>
          <w:b/>
          <w:bCs/>
          <w:color w:val="auto"/>
          <w:sz w:val="24"/>
          <w:szCs w:val="24"/>
        </w:rPr>
        <w:t>十五、股份支付</w:t>
      </w:r>
      <w:bookmarkEnd w:id="389"/>
    </w:p>
    <w:p w14:paraId="75F8070E">
      <w:pPr>
        <w:keepNext/>
        <w:keepLines/>
        <w:spacing w:before="300" w:after="300" w:line="280" w:lineRule="exact"/>
        <w:jc w:val="left"/>
        <w:outlineLvl w:val="2"/>
        <w:rPr>
          <w:rFonts w:ascii="宋体" w:hAnsi="宋体" w:eastAsia="宋体" w:cs="宋体"/>
          <w:b/>
          <w:bCs/>
          <w:color w:val="auto"/>
          <w:sz w:val="21"/>
          <w:szCs w:val="21"/>
        </w:rPr>
      </w:pPr>
      <w:bookmarkStart w:id="390" w:name="_Toc989366"/>
      <w:r>
        <w:rPr>
          <w:rFonts w:ascii="宋体" w:hAnsi="宋体" w:eastAsia="宋体" w:cs="宋体"/>
          <w:b/>
          <w:bCs/>
          <w:color w:val="auto"/>
          <w:sz w:val="21"/>
          <w:szCs w:val="21"/>
        </w:rPr>
        <w:t>1、股份支付总体情况</w:t>
      </w:r>
      <w:bookmarkEnd w:id="390"/>
    </w:p>
    <w:p w14:paraId="3F8078F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49A35B52">
      <w:pPr>
        <w:keepNext/>
        <w:keepLines/>
        <w:spacing w:before="300" w:after="300" w:line="280" w:lineRule="exact"/>
        <w:jc w:val="left"/>
        <w:outlineLvl w:val="2"/>
        <w:rPr>
          <w:rFonts w:ascii="宋体" w:hAnsi="宋体" w:eastAsia="宋体" w:cs="宋体"/>
          <w:b/>
          <w:bCs/>
          <w:color w:val="auto"/>
          <w:sz w:val="21"/>
          <w:szCs w:val="21"/>
        </w:rPr>
      </w:pPr>
      <w:bookmarkStart w:id="391" w:name="_Toc989367"/>
      <w:r>
        <w:rPr>
          <w:rFonts w:ascii="宋体" w:hAnsi="宋体" w:eastAsia="宋体" w:cs="宋体"/>
          <w:b/>
          <w:bCs/>
          <w:color w:val="auto"/>
          <w:sz w:val="21"/>
          <w:szCs w:val="21"/>
        </w:rPr>
        <w:t>2、以权益结算的股份支付情况</w:t>
      </w:r>
      <w:bookmarkEnd w:id="391"/>
    </w:p>
    <w:p w14:paraId="77CAC45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37210708">
      <w:pPr>
        <w:keepNext/>
        <w:keepLines/>
        <w:spacing w:before="300" w:after="300" w:line="280" w:lineRule="exact"/>
        <w:jc w:val="left"/>
        <w:outlineLvl w:val="2"/>
        <w:rPr>
          <w:rFonts w:ascii="宋体" w:hAnsi="宋体" w:eastAsia="宋体" w:cs="宋体"/>
          <w:b/>
          <w:bCs/>
          <w:color w:val="auto"/>
          <w:sz w:val="21"/>
          <w:szCs w:val="21"/>
        </w:rPr>
      </w:pPr>
      <w:bookmarkStart w:id="392" w:name="_Toc989368"/>
      <w:r>
        <w:rPr>
          <w:rFonts w:ascii="宋体" w:hAnsi="宋体" w:eastAsia="宋体" w:cs="宋体"/>
          <w:b/>
          <w:bCs/>
          <w:color w:val="auto"/>
          <w:sz w:val="21"/>
          <w:szCs w:val="21"/>
        </w:rPr>
        <w:t>3、以现金结算的股份支付情况</w:t>
      </w:r>
      <w:bookmarkEnd w:id="392"/>
    </w:p>
    <w:p w14:paraId="6D7E16E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5B0AB0DF">
      <w:pPr>
        <w:keepNext/>
        <w:keepLines/>
        <w:spacing w:before="300" w:after="300" w:line="280" w:lineRule="exact"/>
        <w:jc w:val="left"/>
        <w:outlineLvl w:val="2"/>
        <w:rPr>
          <w:rFonts w:ascii="宋体" w:hAnsi="宋体" w:eastAsia="宋体" w:cs="宋体"/>
          <w:b/>
          <w:bCs/>
          <w:color w:val="auto"/>
          <w:sz w:val="21"/>
          <w:szCs w:val="21"/>
        </w:rPr>
      </w:pPr>
      <w:bookmarkStart w:id="393" w:name="_Toc989369"/>
      <w:r>
        <w:rPr>
          <w:rFonts w:ascii="宋体" w:hAnsi="宋体" w:eastAsia="宋体" w:cs="宋体"/>
          <w:b/>
          <w:bCs/>
          <w:color w:val="auto"/>
          <w:sz w:val="21"/>
          <w:szCs w:val="21"/>
        </w:rPr>
        <w:t>4、本期股份支付费用</w:t>
      </w:r>
      <w:bookmarkEnd w:id="393"/>
    </w:p>
    <w:p w14:paraId="473AD78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146AB0F1">
      <w:pPr>
        <w:keepNext/>
        <w:keepLines/>
        <w:spacing w:before="300" w:after="300" w:line="280" w:lineRule="exact"/>
        <w:jc w:val="left"/>
        <w:outlineLvl w:val="2"/>
        <w:rPr>
          <w:rFonts w:ascii="宋体" w:hAnsi="宋体" w:eastAsia="宋体" w:cs="宋体"/>
          <w:b/>
          <w:bCs/>
          <w:color w:val="auto"/>
          <w:sz w:val="21"/>
          <w:szCs w:val="21"/>
        </w:rPr>
      </w:pPr>
      <w:bookmarkStart w:id="394" w:name="_Toc989370"/>
      <w:r>
        <w:rPr>
          <w:rFonts w:ascii="宋体" w:hAnsi="宋体" w:eastAsia="宋体" w:cs="宋体"/>
          <w:b/>
          <w:bCs/>
          <w:color w:val="auto"/>
          <w:sz w:val="21"/>
          <w:szCs w:val="21"/>
        </w:rPr>
        <w:t>5、股份支付的修改、终止情况</w:t>
      </w:r>
      <w:bookmarkEnd w:id="394"/>
    </w:p>
    <w:p w14:paraId="25AF4336">
      <w:pPr>
        <w:keepNext/>
        <w:keepLines/>
        <w:spacing w:before="300" w:after="300" w:line="280" w:lineRule="exact"/>
        <w:jc w:val="left"/>
        <w:outlineLvl w:val="2"/>
        <w:rPr>
          <w:rFonts w:hint="eastAsia" w:ascii="宋体" w:hAnsi="宋体" w:eastAsia="宋体" w:cs="宋体"/>
          <w:b/>
          <w:bCs/>
          <w:color w:val="auto"/>
          <w:sz w:val="21"/>
          <w:szCs w:val="21"/>
          <w:lang w:eastAsia="zh-CN"/>
        </w:rPr>
      </w:pPr>
      <w:bookmarkStart w:id="395" w:name="_Toc989371"/>
      <w:r>
        <w:rPr>
          <w:rFonts w:ascii="宋体" w:hAnsi="宋体" w:eastAsia="宋体" w:cs="宋体"/>
          <w:b/>
          <w:bCs/>
          <w:color w:val="auto"/>
          <w:sz w:val="21"/>
          <w:szCs w:val="21"/>
        </w:rPr>
        <w:t>6、其他</w:t>
      </w:r>
      <w:bookmarkEnd w:id="395"/>
    </w:p>
    <w:p w14:paraId="73DD8FE8">
      <w:pPr>
        <w:keepNext/>
        <w:keepLines/>
        <w:spacing w:before="300" w:after="300" w:line="320" w:lineRule="exact"/>
        <w:jc w:val="left"/>
        <w:outlineLvl w:val="1"/>
        <w:rPr>
          <w:rFonts w:ascii="宋体" w:hAnsi="宋体" w:eastAsia="宋体" w:cs="宋体"/>
          <w:b/>
          <w:bCs/>
          <w:color w:val="auto"/>
          <w:sz w:val="24"/>
          <w:szCs w:val="24"/>
        </w:rPr>
      </w:pPr>
      <w:bookmarkStart w:id="396" w:name="_Toc989372"/>
      <w:r>
        <w:rPr>
          <w:rFonts w:ascii="宋体" w:hAnsi="宋体" w:eastAsia="宋体" w:cs="宋体"/>
          <w:b/>
          <w:bCs/>
          <w:color w:val="auto"/>
          <w:sz w:val="24"/>
          <w:szCs w:val="24"/>
        </w:rPr>
        <w:t>十六、承诺及或有事项</w:t>
      </w:r>
      <w:bookmarkEnd w:id="396"/>
    </w:p>
    <w:p w14:paraId="3BAF71B8">
      <w:pPr>
        <w:keepNext/>
        <w:keepLines/>
        <w:spacing w:before="300" w:after="300" w:line="280" w:lineRule="exact"/>
        <w:jc w:val="left"/>
        <w:outlineLvl w:val="2"/>
        <w:rPr>
          <w:rFonts w:ascii="宋体" w:hAnsi="宋体" w:eastAsia="宋体" w:cs="宋体"/>
          <w:b/>
          <w:bCs/>
          <w:color w:val="auto"/>
          <w:sz w:val="21"/>
          <w:szCs w:val="21"/>
        </w:rPr>
      </w:pPr>
      <w:bookmarkStart w:id="397" w:name="_Toc989373"/>
      <w:r>
        <w:rPr>
          <w:rFonts w:ascii="宋体" w:hAnsi="宋体" w:eastAsia="宋体" w:cs="宋体"/>
          <w:b/>
          <w:bCs/>
          <w:color w:val="auto"/>
          <w:sz w:val="21"/>
          <w:szCs w:val="21"/>
        </w:rPr>
        <w:t>1、重要承诺事项</w:t>
      </w:r>
      <w:bookmarkEnd w:id="397"/>
    </w:p>
    <w:p w14:paraId="240F369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资产负债表日存在的重要承诺</w:t>
      </w:r>
    </w:p>
    <w:p w14:paraId="6422D321">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1、创新药控股子公司广生中霖增资扩股暨引入投资者导致的本公司回购义务</w:t>
      </w:r>
    </w:p>
    <w:p w14:paraId="5FEA2496">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子公司福建广生中霖生物科技有限公司（以下简称目标公司或广生中霖）于2023年1月以增资扩股方式引入投资者，福州创新创科投资合伙企业（有限合伙）、宁德市汇聚一号股权投资合伙企业（有限合伙）、杭州泰鲲股权投资基金合伙企业（有限合伙）、杭州泰誉四期创业投资合伙企业（有限合伙）合计增资22,000万元，增资完成后前述投资方合计取得广生中霖的股权比例为9.9099%，并附加股权回购条款，具体为：</w:t>
      </w:r>
    </w:p>
    <w:p w14:paraId="5E3FE166">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（1）上市安排：目标公司在本次交易完成日后3年内独立在A股（指在上海证券交易所和深圳证券交易所上市，不包含新三板和北交所挂牌）或者港股（指在香港联交所上市）完成IPO上市。</w:t>
      </w:r>
    </w:p>
    <w:p w14:paraId="2F3ADCC7">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发行股份收购：本次投资交易完成日满1年，投资方可向广生中霖控股股东(即本公司，以下同)发出书面通知，有权要求广生中霖控股股东启动发行股份或“发行股份+现金”的方式购买投资方持有的少数股东权益的程序。如果投资方选择采取“发行股份+现金”的方式，现金比例由双方协商确定。</w:t>
      </w:r>
    </w:p>
    <w:p w14:paraId="50951D96">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3）股权回购：若协议约定的上市计划未能完成，且自本次投资交易完成日起满3年，投资方未能通过第（2）条实现退出的，投资方有权要求控股股东及（或）控股股东指定并获得投资方同意的第三方（不包括广生中霖）以现金的方式按照约定价格一次性回购投资方所持广生中霖股权。回购对价为以下方式确定的价格孰高者：</w:t>
      </w:r>
    </w:p>
    <w:p w14:paraId="2E5F46BA">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1）投资方投资本金及8%（单利）的年化利率；</w:t>
      </w:r>
    </w:p>
    <w:p w14:paraId="6C5EA1AA">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回购价格=投资款*（1+8%（单利）*缴付投资款天数/365）（自交易完成日起算至股权回购价款付清之日止）-股权持有期间投资方取得的目标公司发放的现金红利。</w:t>
      </w:r>
    </w:p>
    <w:p w14:paraId="1B833621">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2）各方认可的资产评估机构出具的评估报告中投资方持有的广生中霖股权的评估价值，其中，资产评估机构的费用由广生中霖承担。</w:t>
      </w:r>
    </w:p>
    <w:p w14:paraId="1F1A20DC">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若控股股东促使投资方同意的第三方按照上述回购条件受让投资方持有的广生中霖全部股权，投资方视同控股股东履行了回购义务。</w:t>
      </w:r>
    </w:p>
    <w:p w14:paraId="76D68CD1">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自本次投资交易完成日起</w:t>
      </w:r>
      <w:r>
        <w:rPr>
          <w:rFonts w:hint="default" w:ascii="Times New Roman" w:hAnsi="Times New Roman" w:eastAsia="宋体" w:cs="Times New Roman"/>
          <w:color w:val="auto"/>
          <w:sz w:val="21"/>
          <w:szCs w:val="21"/>
        </w:rPr>
        <w:t>3</w:t>
      </w:r>
      <w:r>
        <w:rPr>
          <w:rFonts w:hint="eastAsia" w:ascii="宋体" w:hAnsi="宋体" w:eastAsia="宋体" w:cs="宋体"/>
          <w:color w:val="auto"/>
          <w:sz w:val="21"/>
          <w:szCs w:val="21"/>
        </w:rPr>
        <w:t>年内，若控股股东存在以下情形，投资方有权随时要求控股股东的股权回购义务提前到期，投资方有权要求控股股东提前履行股权回购义务：（</w:t>
      </w:r>
      <w:r>
        <w:rPr>
          <w:rFonts w:hint="default" w:ascii="Times New Roman" w:hAnsi="Times New Roman" w:eastAsia="宋体" w:cs="Times New Roman"/>
          <w:color w:val="auto"/>
          <w:sz w:val="21"/>
          <w:szCs w:val="21"/>
        </w:rPr>
        <w:t>i</w:t>
      </w:r>
      <w:r>
        <w:rPr>
          <w:rFonts w:hint="eastAsia" w:ascii="宋体" w:hAnsi="宋体" w:eastAsia="宋体" w:cs="宋体"/>
          <w:color w:val="auto"/>
          <w:sz w:val="21"/>
          <w:szCs w:val="21"/>
        </w:rPr>
        <w:t>）实际控制人对控股股东的控制权发生变动，或控股股东对目标公司的控制权发生变动；（</w:t>
      </w:r>
      <w:r>
        <w:rPr>
          <w:rFonts w:hint="default" w:ascii="Times New Roman" w:hAnsi="Times New Roman" w:eastAsia="宋体" w:cs="Times New Roman"/>
          <w:color w:val="auto"/>
          <w:sz w:val="21"/>
          <w:szCs w:val="21"/>
        </w:rPr>
        <w:t>ii</w:t>
      </w:r>
      <w:r>
        <w:rPr>
          <w:rFonts w:hint="eastAsia" w:ascii="宋体" w:hAnsi="宋体" w:eastAsia="宋体" w:cs="宋体"/>
          <w:color w:val="auto"/>
          <w:sz w:val="21"/>
          <w:szCs w:val="21"/>
        </w:rPr>
        <w:t>）证券交易所对控股股东的股票交易进行特别处理（</w:t>
      </w:r>
      <w:r>
        <w:rPr>
          <w:rFonts w:hint="default" w:ascii="Times New Roman" w:hAnsi="Times New Roman" w:eastAsia="宋体" w:cs="Times New Roman"/>
          <w:color w:val="auto"/>
          <w:sz w:val="21"/>
          <w:szCs w:val="21"/>
        </w:rPr>
        <w:t>ST</w:t>
      </w:r>
      <w:r>
        <w:rPr>
          <w:rFonts w:hint="eastAsia" w:ascii="宋体" w:hAnsi="宋体" w:eastAsia="宋体" w:cs="宋体"/>
          <w:color w:val="auto"/>
          <w:sz w:val="21"/>
          <w:szCs w:val="21"/>
        </w:rPr>
        <w:t>）；（</w:t>
      </w:r>
      <w:r>
        <w:rPr>
          <w:rFonts w:hint="default" w:ascii="Times New Roman" w:hAnsi="Times New Roman" w:eastAsia="宋体" w:cs="Times New Roman"/>
          <w:color w:val="auto"/>
          <w:sz w:val="21"/>
          <w:szCs w:val="21"/>
        </w:rPr>
        <w:t>iii</w:t>
      </w:r>
      <w:r>
        <w:rPr>
          <w:rFonts w:hint="eastAsia" w:ascii="宋体" w:hAnsi="宋体" w:eastAsia="宋体" w:cs="宋体"/>
          <w:color w:val="auto"/>
          <w:sz w:val="21"/>
          <w:szCs w:val="21"/>
        </w:rPr>
        <w:t>）控股股东被出具否定意见、无法表示意见的审计报告或被出具证明存在严重违法违规情形的保留意见；（</w:t>
      </w:r>
      <w:r>
        <w:rPr>
          <w:rFonts w:hint="default" w:ascii="Times New Roman" w:hAnsi="Times New Roman" w:eastAsia="宋体" w:cs="Times New Roman"/>
          <w:color w:val="auto"/>
          <w:sz w:val="21"/>
          <w:szCs w:val="21"/>
        </w:rPr>
        <w:t>iiii</w:t>
      </w:r>
      <w:r>
        <w:rPr>
          <w:rFonts w:hint="eastAsia" w:ascii="宋体" w:hAnsi="宋体" w:eastAsia="宋体" w:cs="宋体"/>
          <w:color w:val="auto"/>
          <w:sz w:val="21"/>
          <w:szCs w:val="21"/>
        </w:rPr>
        <w:t>）控股股东被法院强制执行金额超过</w:t>
      </w:r>
      <w:r>
        <w:rPr>
          <w:rFonts w:hint="default" w:ascii="Times New Roman" w:hAnsi="Times New Roman" w:eastAsia="宋体" w:cs="Times New Roman"/>
          <w:color w:val="auto"/>
          <w:sz w:val="21"/>
          <w:szCs w:val="21"/>
        </w:rPr>
        <w:t>5,000</w:t>
      </w:r>
      <w:r>
        <w:rPr>
          <w:rFonts w:hint="eastAsia" w:ascii="宋体" w:hAnsi="宋体" w:eastAsia="宋体" w:cs="宋体"/>
          <w:color w:val="auto"/>
          <w:sz w:val="21"/>
          <w:szCs w:val="21"/>
        </w:rPr>
        <w:t>万元且持续状态超过</w:t>
      </w:r>
      <w:r>
        <w:rPr>
          <w:rFonts w:hint="default" w:ascii="Times New Roman" w:hAnsi="Times New Roman" w:eastAsia="宋体" w:cs="Times New Roman"/>
          <w:color w:val="auto"/>
          <w:sz w:val="21"/>
          <w:szCs w:val="21"/>
        </w:rPr>
        <w:t>3</w:t>
      </w:r>
      <w:r>
        <w:rPr>
          <w:rFonts w:hint="eastAsia" w:ascii="宋体" w:hAnsi="宋体" w:eastAsia="宋体" w:cs="宋体"/>
          <w:color w:val="auto"/>
          <w:sz w:val="21"/>
          <w:szCs w:val="21"/>
        </w:rPr>
        <w:t>个月；（</w:t>
      </w:r>
      <w:r>
        <w:rPr>
          <w:rFonts w:hint="default" w:ascii="Times New Roman" w:hAnsi="Times New Roman" w:eastAsia="宋体" w:cs="Times New Roman"/>
          <w:color w:val="auto"/>
          <w:sz w:val="21"/>
          <w:szCs w:val="21"/>
        </w:rPr>
        <w:t>iiiii</w:t>
      </w:r>
      <w:r>
        <w:rPr>
          <w:rFonts w:hint="eastAsia" w:ascii="宋体" w:hAnsi="宋体" w:eastAsia="宋体" w:cs="宋体"/>
          <w:color w:val="auto"/>
          <w:sz w:val="21"/>
          <w:szCs w:val="21"/>
        </w:rPr>
        <w:t>）控股股东可能导致丧失履行现金回购义务能力的情形。</w:t>
      </w:r>
    </w:p>
    <w:p w14:paraId="1DFAEE87">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（4）权利调整</w:t>
      </w:r>
    </w:p>
    <w:p w14:paraId="4F6EBA92">
      <w:pPr>
        <w:pStyle w:val="4"/>
        <w:keepNext w:val="0"/>
        <w:keepLines w:val="0"/>
        <w:widowControl/>
        <w:suppressLineNumbers w:val="0"/>
        <w:spacing w:line="360" w:lineRule="auto"/>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若广生中霖提交上市申请并获得受理的，则自广生中霖上市申请材料受理之日起，本补充协议自动终止。但是若广生中霖最终未能完成上市并流通的，则各方同意本补充协议自广生中霖申请撤回之日或者中国证监会或其它有权部门不予核准广生中霖上市申请之日自动恢复法律效力，并对各方自始具有约束力。</w:t>
      </w:r>
    </w:p>
    <w:p w14:paraId="7712E983">
      <w:pPr>
        <w:keepNext/>
        <w:keepLines/>
        <w:spacing w:before="300" w:after="300" w:line="280" w:lineRule="exact"/>
        <w:jc w:val="left"/>
        <w:outlineLvl w:val="2"/>
        <w:rPr>
          <w:rFonts w:ascii="宋体" w:hAnsi="宋体" w:eastAsia="宋体" w:cs="宋体"/>
          <w:b/>
          <w:bCs/>
          <w:color w:val="auto"/>
          <w:sz w:val="21"/>
          <w:szCs w:val="21"/>
        </w:rPr>
      </w:pPr>
      <w:bookmarkStart w:id="398" w:name="_Toc989374"/>
      <w:r>
        <w:rPr>
          <w:rFonts w:ascii="宋体" w:hAnsi="宋体" w:eastAsia="宋体" w:cs="宋体"/>
          <w:b/>
          <w:bCs/>
          <w:color w:val="auto"/>
          <w:sz w:val="21"/>
          <w:szCs w:val="21"/>
        </w:rPr>
        <w:t>2、或有事项</w:t>
      </w:r>
      <w:bookmarkEnd w:id="398"/>
    </w:p>
    <w:p w14:paraId="779CE2B8">
      <w:pPr>
        <w:keepNext/>
        <w:keepLines/>
        <w:spacing w:before="300" w:after="300" w:line="280" w:lineRule="exact"/>
        <w:jc w:val="left"/>
        <w:outlineLvl w:val="3"/>
        <w:rPr>
          <w:rFonts w:ascii="宋体" w:hAnsi="宋体" w:eastAsia="宋体" w:cs="宋体"/>
          <w:b/>
          <w:bCs/>
          <w:color w:val="auto"/>
          <w:sz w:val="21"/>
          <w:szCs w:val="21"/>
        </w:rPr>
      </w:pPr>
      <w:bookmarkStart w:id="399" w:name="_Toc989375"/>
      <w:r>
        <w:rPr>
          <w:rFonts w:ascii="宋体" w:hAnsi="宋体" w:eastAsia="宋体" w:cs="宋体"/>
          <w:b/>
          <w:bCs/>
          <w:color w:val="auto"/>
          <w:sz w:val="21"/>
          <w:szCs w:val="21"/>
        </w:rPr>
        <w:t>（1）资产负债表日存在的重要或有事项</w:t>
      </w:r>
      <w:bookmarkEnd w:id="399"/>
    </w:p>
    <w:p w14:paraId="723F806F">
      <w:pPr>
        <w:keepNext/>
        <w:keepLines/>
        <w:spacing w:before="300" w:after="300" w:line="280" w:lineRule="exact"/>
        <w:jc w:val="left"/>
        <w:outlineLvl w:val="3"/>
        <w:rPr>
          <w:rFonts w:ascii="宋体" w:hAnsi="宋体" w:eastAsia="宋体" w:cs="宋体"/>
          <w:b/>
          <w:bCs/>
          <w:color w:val="auto"/>
          <w:sz w:val="21"/>
          <w:szCs w:val="21"/>
        </w:rPr>
      </w:pPr>
      <w:bookmarkStart w:id="400" w:name="_Toc989376"/>
      <w:r>
        <w:rPr>
          <w:rFonts w:ascii="宋体" w:hAnsi="宋体" w:eastAsia="宋体" w:cs="宋体"/>
          <w:b/>
          <w:bCs/>
          <w:color w:val="auto"/>
          <w:sz w:val="21"/>
          <w:szCs w:val="21"/>
        </w:rPr>
        <w:t>（2）公司没有需要披露的重要或有事项，也应予以说明</w:t>
      </w:r>
      <w:bookmarkEnd w:id="400"/>
    </w:p>
    <w:p w14:paraId="37BEAD9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公司不存在需要披露的重要或有事项。</w:t>
      </w:r>
    </w:p>
    <w:p w14:paraId="439A0D10">
      <w:pPr>
        <w:keepNext/>
        <w:keepLines/>
        <w:spacing w:before="300" w:after="300" w:line="280" w:lineRule="exact"/>
        <w:jc w:val="left"/>
        <w:outlineLvl w:val="2"/>
        <w:rPr>
          <w:rFonts w:ascii="宋体" w:hAnsi="宋体" w:eastAsia="宋体" w:cs="宋体"/>
          <w:b/>
          <w:bCs/>
          <w:color w:val="auto"/>
          <w:sz w:val="21"/>
          <w:szCs w:val="21"/>
        </w:rPr>
      </w:pPr>
      <w:bookmarkStart w:id="401" w:name="_Toc989377"/>
      <w:r>
        <w:rPr>
          <w:rFonts w:ascii="宋体" w:hAnsi="宋体" w:eastAsia="宋体" w:cs="宋体"/>
          <w:b/>
          <w:bCs/>
          <w:color w:val="auto"/>
          <w:sz w:val="21"/>
          <w:szCs w:val="21"/>
        </w:rPr>
        <w:t>3、其他</w:t>
      </w:r>
      <w:bookmarkEnd w:id="401"/>
    </w:p>
    <w:p w14:paraId="437A4D3B">
      <w:pPr>
        <w:keepNext/>
        <w:keepLines/>
        <w:spacing w:before="300" w:after="300" w:line="320" w:lineRule="exact"/>
        <w:jc w:val="left"/>
        <w:outlineLvl w:val="1"/>
        <w:rPr>
          <w:rFonts w:ascii="宋体" w:hAnsi="宋体" w:eastAsia="宋体" w:cs="宋体"/>
          <w:b/>
          <w:bCs/>
          <w:color w:val="auto"/>
          <w:sz w:val="24"/>
          <w:szCs w:val="24"/>
        </w:rPr>
      </w:pPr>
      <w:bookmarkStart w:id="402" w:name="_Toc989378"/>
      <w:r>
        <w:rPr>
          <w:rFonts w:ascii="宋体" w:hAnsi="宋体" w:eastAsia="宋体" w:cs="宋体"/>
          <w:b/>
          <w:bCs/>
          <w:color w:val="auto"/>
          <w:sz w:val="24"/>
          <w:szCs w:val="24"/>
        </w:rPr>
        <w:t>十七、资产负债表日后事项</w:t>
      </w:r>
      <w:bookmarkEnd w:id="402"/>
    </w:p>
    <w:p w14:paraId="09B02A7F">
      <w:pPr>
        <w:keepNext/>
        <w:keepLines/>
        <w:spacing w:before="300" w:after="300" w:line="280" w:lineRule="exact"/>
        <w:jc w:val="left"/>
        <w:outlineLvl w:val="2"/>
        <w:rPr>
          <w:rFonts w:ascii="宋体" w:hAnsi="宋体" w:eastAsia="宋体" w:cs="宋体"/>
          <w:b/>
          <w:bCs/>
          <w:color w:val="auto"/>
          <w:sz w:val="21"/>
          <w:szCs w:val="21"/>
        </w:rPr>
      </w:pPr>
      <w:bookmarkStart w:id="403" w:name="_Toc989379"/>
      <w:r>
        <w:rPr>
          <w:rFonts w:ascii="宋体" w:hAnsi="宋体" w:eastAsia="宋体" w:cs="宋体"/>
          <w:b/>
          <w:bCs/>
          <w:color w:val="auto"/>
          <w:sz w:val="21"/>
          <w:szCs w:val="21"/>
        </w:rPr>
        <w:t>1、重要的非调整事项</w:t>
      </w:r>
      <w:bookmarkEnd w:id="403"/>
    </w:p>
    <w:p w14:paraId="0670EE3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FC41B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E3BB1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F34A1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3A6D89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对财务状况和经营成果的影响数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55A4F2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无法估计影响数的原因</w:t>
            </w:r>
          </w:p>
        </w:tc>
      </w:tr>
      <w:tr w14:paraId="6650EE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8BDE7F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股票和债券的发行</w:t>
            </w:r>
          </w:p>
        </w:tc>
        <w:tc>
          <w:tcPr>
            <w:tcW w:w="2410" w:type="dxa"/>
            <w:tcBorders>
              <w:top w:val="single" w:color="auto" w:sz="2" w:space="0"/>
              <w:left w:val="single" w:color="auto" w:sz="2" w:space="0"/>
              <w:bottom w:val="single" w:color="auto" w:sz="2" w:space="0"/>
              <w:right w:val="single" w:color="auto" w:sz="2" w:space="0"/>
            </w:tcBorders>
            <w:vAlign w:val="center"/>
          </w:tcPr>
          <w:p w14:paraId="30C1083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向特定对象非公开发行股份</w:t>
            </w:r>
          </w:p>
        </w:tc>
        <w:tc>
          <w:tcPr>
            <w:tcW w:w="2410" w:type="dxa"/>
            <w:tcBorders>
              <w:top w:val="single" w:color="auto" w:sz="2" w:space="0"/>
              <w:left w:val="single" w:color="auto" w:sz="2" w:space="0"/>
              <w:bottom w:val="single" w:color="auto" w:sz="2" w:space="0"/>
              <w:right w:val="single" w:color="auto" w:sz="2" w:space="0"/>
            </w:tcBorders>
            <w:vAlign w:val="center"/>
          </w:tcPr>
          <w:p w14:paraId="6B44CEE0">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A6C8FB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本次向特定对象发行A股股票数量不超过47</w:t>
            </w:r>
            <w:r>
              <w:rPr>
                <w:rFonts w:hint="eastAsia" w:ascii="宋体" w:hAnsi="宋体" w:cs="宋体"/>
                <w:color w:val="auto"/>
                <w:sz w:val="18"/>
                <w:szCs w:val="18"/>
                <w:lang w:val="en-US" w:eastAsia="zh-CN"/>
              </w:rPr>
              <w:t>,</w:t>
            </w:r>
            <w:r>
              <w:rPr>
                <w:rFonts w:ascii="宋体" w:hAnsi="宋体" w:eastAsia="宋体" w:cs="宋体"/>
                <w:color w:val="auto"/>
                <w:sz w:val="18"/>
                <w:szCs w:val="18"/>
              </w:rPr>
              <w:t>780</w:t>
            </w:r>
            <w:r>
              <w:rPr>
                <w:rFonts w:hint="eastAsia" w:ascii="宋体" w:hAnsi="宋体" w:cs="宋体"/>
                <w:color w:val="auto"/>
                <w:sz w:val="18"/>
                <w:szCs w:val="18"/>
                <w:lang w:val="en-US" w:eastAsia="zh-CN"/>
              </w:rPr>
              <w:t>,</w:t>
            </w:r>
            <w:r>
              <w:rPr>
                <w:rFonts w:ascii="宋体" w:hAnsi="宋体" w:eastAsia="宋体" w:cs="宋体"/>
                <w:color w:val="auto"/>
                <w:sz w:val="18"/>
                <w:szCs w:val="18"/>
              </w:rPr>
              <w:t>100股(含本数)，本次向特定对象发行募集资金到位后，公司的总资产和净资产均将相应增加，公司的资产结构将得到进一步的优化，公司资产负债率也将相应降低，财务结构更加稳健。</w:t>
            </w:r>
          </w:p>
        </w:tc>
      </w:tr>
    </w:tbl>
    <w:p w14:paraId="68193603">
      <w:pPr>
        <w:keepNext/>
        <w:keepLines/>
        <w:spacing w:before="300" w:after="300" w:line="280" w:lineRule="exact"/>
        <w:jc w:val="left"/>
        <w:outlineLvl w:val="2"/>
        <w:rPr>
          <w:rFonts w:ascii="宋体" w:hAnsi="宋体" w:eastAsia="宋体" w:cs="宋体"/>
          <w:b/>
          <w:bCs/>
          <w:color w:val="auto"/>
          <w:sz w:val="21"/>
          <w:szCs w:val="21"/>
        </w:rPr>
      </w:pPr>
      <w:bookmarkStart w:id="404" w:name="_Toc989380"/>
      <w:r>
        <w:rPr>
          <w:rFonts w:ascii="宋体" w:hAnsi="宋体" w:eastAsia="宋体" w:cs="宋体"/>
          <w:b/>
          <w:bCs/>
          <w:color w:val="auto"/>
          <w:sz w:val="21"/>
          <w:szCs w:val="21"/>
        </w:rPr>
        <w:t>2、利润分配情况</w:t>
      </w:r>
      <w:bookmarkEnd w:id="404"/>
    </w:p>
    <w:p w14:paraId="2F5318E4">
      <w:pPr>
        <w:spacing w:before="40" w:after="40" w:line="0" w:lineRule="exact"/>
        <w:jc w:val="left"/>
        <w:rPr>
          <w:color w:val="auto"/>
        </w:rPr>
      </w:pPr>
    </w:p>
    <w:p w14:paraId="34B78F4C">
      <w:pPr>
        <w:keepNext/>
        <w:keepLines/>
        <w:spacing w:before="300" w:after="300" w:line="280" w:lineRule="exact"/>
        <w:jc w:val="left"/>
        <w:outlineLvl w:val="2"/>
        <w:rPr>
          <w:rFonts w:ascii="宋体" w:hAnsi="宋体" w:eastAsia="宋体" w:cs="宋体"/>
          <w:b/>
          <w:bCs/>
          <w:color w:val="auto"/>
          <w:sz w:val="21"/>
          <w:szCs w:val="21"/>
        </w:rPr>
      </w:pPr>
      <w:bookmarkStart w:id="405" w:name="_Toc989381"/>
      <w:r>
        <w:rPr>
          <w:rFonts w:ascii="宋体" w:hAnsi="宋体" w:eastAsia="宋体" w:cs="宋体"/>
          <w:b/>
          <w:bCs/>
          <w:color w:val="auto"/>
          <w:sz w:val="21"/>
          <w:szCs w:val="21"/>
        </w:rPr>
        <w:t>3、销售退回</w:t>
      </w:r>
      <w:bookmarkEnd w:id="405"/>
    </w:p>
    <w:p w14:paraId="3DAF69FF">
      <w:pPr>
        <w:keepNext/>
        <w:keepLines/>
        <w:spacing w:before="300" w:after="300" w:line="280" w:lineRule="exact"/>
        <w:jc w:val="left"/>
        <w:outlineLvl w:val="2"/>
        <w:rPr>
          <w:rFonts w:ascii="宋体" w:hAnsi="宋体" w:eastAsia="宋体" w:cs="宋体"/>
          <w:b/>
          <w:bCs/>
          <w:color w:val="auto"/>
          <w:sz w:val="21"/>
          <w:szCs w:val="21"/>
        </w:rPr>
      </w:pPr>
      <w:bookmarkStart w:id="406" w:name="_Toc989382"/>
      <w:r>
        <w:rPr>
          <w:rFonts w:ascii="宋体" w:hAnsi="宋体" w:eastAsia="宋体" w:cs="宋体"/>
          <w:b/>
          <w:bCs/>
          <w:color w:val="auto"/>
          <w:sz w:val="21"/>
          <w:szCs w:val="21"/>
        </w:rPr>
        <w:t>4、其他资产负债表日后事项说明</w:t>
      </w:r>
      <w:bookmarkEnd w:id="406"/>
    </w:p>
    <w:p w14:paraId="4EF438BF">
      <w:pPr>
        <w:keepNext/>
        <w:keepLines/>
        <w:spacing w:before="300" w:after="300" w:line="320" w:lineRule="exact"/>
        <w:jc w:val="left"/>
        <w:outlineLvl w:val="1"/>
        <w:rPr>
          <w:rFonts w:ascii="宋体" w:hAnsi="宋体" w:eastAsia="宋体" w:cs="宋体"/>
          <w:b/>
          <w:bCs/>
          <w:color w:val="auto"/>
          <w:sz w:val="24"/>
          <w:szCs w:val="24"/>
        </w:rPr>
      </w:pPr>
      <w:bookmarkStart w:id="407" w:name="_Toc989383"/>
      <w:r>
        <w:rPr>
          <w:rFonts w:ascii="宋体" w:hAnsi="宋体" w:eastAsia="宋体" w:cs="宋体"/>
          <w:b/>
          <w:bCs/>
          <w:color w:val="auto"/>
          <w:sz w:val="24"/>
          <w:szCs w:val="24"/>
        </w:rPr>
        <w:t>十八、其他重要事项</w:t>
      </w:r>
      <w:bookmarkEnd w:id="407"/>
    </w:p>
    <w:p w14:paraId="34EB841F">
      <w:pPr>
        <w:keepNext/>
        <w:keepLines/>
        <w:spacing w:before="300" w:after="300" w:line="280" w:lineRule="exact"/>
        <w:jc w:val="left"/>
        <w:outlineLvl w:val="2"/>
        <w:rPr>
          <w:rFonts w:ascii="宋体" w:hAnsi="宋体" w:eastAsia="宋体" w:cs="宋体"/>
          <w:b/>
          <w:bCs/>
          <w:color w:val="auto"/>
          <w:sz w:val="21"/>
          <w:szCs w:val="21"/>
        </w:rPr>
      </w:pPr>
      <w:bookmarkStart w:id="408" w:name="_Toc989384"/>
      <w:r>
        <w:rPr>
          <w:rFonts w:ascii="宋体" w:hAnsi="宋体" w:eastAsia="宋体" w:cs="宋体"/>
          <w:b/>
          <w:bCs/>
          <w:color w:val="auto"/>
          <w:sz w:val="21"/>
          <w:szCs w:val="21"/>
        </w:rPr>
        <w:t>1、前期会计差错更正</w:t>
      </w:r>
      <w:bookmarkEnd w:id="408"/>
    </w:p>
    <w:p w14:paraId="75FD0531">
      <w:pPr>
        <w:keepNext/>
        <w:keepLines/>
        <w:spacing w:before="300" w:after="300" w:line="280" w:lineRule="exact"/>
        <w:jc w:val="left"/>
        <w:outlineLvl w:val="3"/>
        <w:rPr>
          <w:rFonts w:ascii="宋体" w:hAnsi="宋体" w:eastAsia="宋体" w:cs="宋体"/>
          <w:b/>
          <w:bCs/>
          <w:color w:val="auto"/>
          <w:sz w:val="21"/>
          <w:szCs w:val="21"/>
        </w:rPr>
      </w:pPr>
      <w:bookmarkStart w:id="409" w:name="_Toc989385"/>
      <w:r>
        <w:rPr>
          <w:rFonts w:ascii="宋体" w:hAnsi="宋体" w:eastAsia="宋体" w:cs="宋体"/>
          <w:b/>
          <w:bCs/>
          <w:color w:val="auto"/>
          <w:sz w:val="21"/>
          <w:szCs w:val="21"/>
        </w:rPr>
        <w:t>（1）追溯重述法</w:t>
      </w:r>
      <w:bookmarkEnd w:id="409"/>
    </w:p>
    <w:p w14:paraId="47C0153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4F6A8C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E8128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会计差错更正的内容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2C6AD1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处理程序</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26C90A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受影响的各个比较期间报表项目名称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96844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累积影响数</w:t>
            </w:r>
          </w:p>
        </w:tc>
      </w:tr>
    </w:tbl>
    <w:p w14:paraId="03228660">
      <w:pPr>
        <w:keepNext/>
        <w:keepLines/>
        <w:spacing w:before="300" w:after="300" w:line="280" w:lineRule="exact"/>
        <w:jc w:val="left"/>
        <w:outlineLvl w:val="3"/>
        <w:rPr>
          <w:rFonts w:ascii="宋体" w:hAnsi="宋体" w:eastAsia="宋体" w:cs="宋体"/>
          <w:b/>
          <w:bCs/>
          <w:color w:val="auto"/>
          <w:sz w:val="21"/>
          <w:szCs w:val="21"/>
        </w:rPr>
      </w:pPr>
      <w:bookmarkStart w:id="410" w:name="_Toc989386"/>
      <w:r>
        <w:rPr>
          <w:rFonts w:ascii="宋体" w:hAnsi="宋体" w:eastAsia="宋体" w:cs="宋体"/>
          <w:b/>
          <w:bCs/>
          <w:color w:val="auto"/>
          <w:sz w:val="21"/>
          <w:szCs w:val="21"/>
        </w:rPr>
        <w:t>（2）未来适用法</w:t>
      </w:r>
      <w:bookmarkEnd w:id="410"/>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C29FC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964F5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会计差错更正的内容</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39199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批准程序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C63D3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采用未来适用法的原因</w:t>
            </w:r>
          </w:p>
        </w:tc>
      </w:tr>
    </w:tbl>
    <w:p w14:paraId="5F3BA771">
      <w:pPr>
        <w:keepNext/>
        <w:keepLines/>
        <w:spacing w:before="300" w:after="300" w:line="280" w:lineRule="exact"/>
        <w:jc w:val="left"/>
        <w:outlineLvl w:val="2"/>
        <w:rPr>
          <w:rFonts w:ascii="宋体" w:hAnsi="宋体" w:eastAsia="宋体" w:cs="宋体"/>
          <w:b/>
          <w:bCs/>
          <w:color w:val="auto"/>
          <w:sz w:val="21"/>
          <w:szCs w:val="21"/>
        </w:rPr>
      </w:pPr>
      <w:bookmarkStart w:id="411" w:name="_Toc989387"/>
      <w:r>
        <w:rPr>
          <w:rFonts w:ascii="宋体" w:hAnsi="宋体" w:eastAsia="宋体" w:cs="宋体"/>
          <w:b/>
          <w:bCs/>
          <w:color w:val="auto"/>
          <w:sz w:val="21"/>
          <w:szCs w:val="21"/>
        </w:rPr>
        <w:t>2、债务重组</w:t>
      </w:r>
      <w:bookmarkEnd w:id="411"/>
    </w:p>
    <w:p w14:paraId="08867CA8">
      <w:pPr>
        <w:keepNext/>
        <w:keepLines/>
        <w:spacing w:before="300" w:after="300" w:line="280" w:lineRule="exact"/>
        <w:jc w:val="left"/>
        <w:outlineLvl w:val="2"/>
        <w:rPr>
          <w:rFonts w:ascii="宋体" w:hAnsi="宋体" w:eastAsia="宋体" w:cs="宋体"/>
          <w:b/>
          <w:bCs/>
          <w:color w:val="auto"/>
          <w:sz w:val="21"/>
          <w:szCs w:val="21"/>
        </w:rPr>
      </w:pPr>
      <w:bookmarkStart w:id="412" w:name="_Toc989388"/>
      <w:r>
        <w:rPr>
          <w:rFonts w:ascii="宋体" w:hAnsi="宋体" w:eastAsia="宋体" w:cs="宋体"/>
          <w:b/>
          <w:bCs/>
          <w:color w:val="auto"/>
          <w:sz w:val="21"/>
          <w:szCs w:val="21"/>
        </w:rPr>
        <w:t>3、资产置换</w:t>
      </w:r>
      <w:bookmarkEnd w:id="412"/>
    </w:p>
    <w:p w14:paraId="07136EBA">
      <w:pPr>
        <w:keepNext/>
        <w:keepLines/>
        <w:spacing w:before="300" w:after="300" w:line="280" w:lineRule="exact"/>
        <w:jc w:val="left"/>
        <w:outlineLvl w:val="3"/>
        <w:rPr>
          <w:rFonts w:ascii="宋体" w:hAnsi="宋体" w:eastAsia="宋体" w:cs="宋体"/>
          <w:b/>
          <w:bCs/>
          <w:color w:val="auto"/>
          <w:sz w:val="21"/>
          <w:szCs w:val="21"/>
        </w:rPr>
      </w:pPr>
      <w:bookmarkStart w:id="413" w:name="_Toc989389"/>
      <w:r>
        <w:rPr>
          <w:rFonts w:ascii="宋体" w:hAnsi="宋体" w:eastAsia="宋体" w:cs="宋体"/>
          <w:b/>
          <w:bCs/>
          <w:color w:val="auto"/>
          <w:sz w:val="21"/>
          <w:szCs w:val="21"/>
        </w:rPr>
        <w:t>（1）非货币性资产交换</w:t>
      </w:r>
      <w:bookmarkEnd w:id="413"/>
    </w:p>
    <w:p w14:paraId="7E413C6F">
      <w:pPr>
        <w:keepNext/>
        <w:keepLines/>
        <w:spacing w:before="300" w:after="300" w:line="280" w:lineRule="exact"/>
        <w:jc w:val="left"/>
        <w:outlineLvl w:val="3"/>
        <w:rPr>
          <w:rFonts w:ascii="宋体" w:hAnsi="宋体" w:eastAsia="宋体" w:cs="宋体"/>
          <w:b/>
          <w:bCs/>
          <w:color w:val="auto"/>
          <w:sz w:val="21"/>
          <w:szCs w:val="21"/>
        </w:rPr>
      </w:pPr>
      <w:bookmarkStart w:id="414" w:name="_Toc989390"/>
      <w:r>
        <w:rPr>
          <w:rFonts w:ascii="宋体" w:hAnsi="宋体" w:eastAsia="宋体" w:cs="宋体"/>
          <w:b/>
          <w:bCs/>
          <w:color w:val="auto"/>
          <w:sz w:val="21"/>
          <w:szCs w:val="21"/>
        </w:rPr>
        <w:t>（2）其他资产置换</w:t>
      </w:r>
      <w:bookmarkEnd w:id="414"/>
    </w:p>
    <w:p w14:paraId="59CD9FF2">
      <w:pPr>
        <w:keepNext/>
        <w:keepLines/>
        <w:spacing w:before="300" w:after="300" w:line="280" w:lineRule="exact"/>
        <w:jc w:val="left"/>
        <w:outlineLvl w:val="2"/>
        <w:rPr>
          <w:rFonts w:ascii="宋体" w:hAnsi="宋体" w:eastAsia="宋体" w:cs="宋体"/>
          <w:b/>
          <w:bCs/>
          <w:color w:val="auto"/>
          <w:sz w:val="21"/>
          <w:szCs w:val="21"/>
        </w:rPr>
      </w:pPr>
      <w:bookmarkStart w:id="415" w:name="_Toc989391"/>
      <w:r>
        <w:rPr>
          <w:rFonts w:ascii="宋体" w:hAnsi="宋体" w:eastAsia="宋体" w:cs="宋体"/>
          <w:b/>
          <w:bCs/>
          <w:color w:val="auto"/>
          <w:sz w:val="21"/>
          <w:szCs w:val="21"/>
        </w:rPr>
        <w:t>4、年金计划</w:t>
      </w:r>
      <w:bookmarkEnd w:id="415"/>
    </w:p>
    <w:p w14:paraId="40D871F1">
      <w:pPr>
        <w:keepNext/>
        <w:keepLines/>
        <w:spacing w:before="300" w:after="300" w:line="280" w:lineRule="exact"/>
        <w:jc w:val="left"/>
        <w:outlineLvl w:val="2"/>
        <w:rPr>
          <w:rFonts w:ascii="宋体" w:hAnsi="宋体" w:eastAsia="宋体" w:cs="宋体"/>
          <w:b/>
          <w:bCs/>
          <w:color w:val="auto"/>
          <w:sz w:val="21"/>
          <w:szCs w:val="21"/>
        </w:rPr>
      </w:pPr>
      <w:bookmarkStart w:id="416" w:name="_Toc989392"/>
      <w:r>
        <w:rPr>
          <w:rFonts w:ascii="宋体" w:hAnsi="宋体" w:eastAsia="宋体" w:cs="宋体"/>
          <w:b/>
          <w:bCs/>
          <w:color w:val="auto"/>
          <w:sz w:val="21"/>
          <w:szCs w:val="21"/>
        </w:rPr>
        <w:t>5、终止经营</w:t>
      </w:r>
      <w:bookmarkEnd w:id="416"/>
    </w:p>
    <w:p w14:paraId="5DAA3E8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F7CA2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99D508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5A1B1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278C59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2DFCB5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利润总额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F2DB76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所得税费用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8410F0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净利润</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5CC3DB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归属于母公司所有者的终止经营利润</w:t>
            </w:r>
          </w:p>
        </w:tc>
      </w:tr>
    </w:tbl>
    <w:p w14:paraId="6B81CFF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20A0D65">
      <w:pPr>
        <w:keepNext/>
        <w:keepLines/>
        <w:spacing w:before="300" w:after="300" w:line="280" w:lineRule="exact"/>
        <w:jc w:val="left"/>
        <w:outlineLvl w:val="2"/>
        <w:rPr>
          <w:rFonts w:ascii="宋体" w:hAnsi="宋体" w:eastAsia="宋体" w:cs="宋体"/>
          <w:b/>
          <w:bCs/>
          <w:color w:val="auto"/>
          <w:sz w:val="21"/>
          <w:szCs w:val="21"/>
        </w:rPr>
      </w:pPr>
      <w:bookmarkStart w:id="417" w:name="_Toc989393"/>
      <w:r>
        <w:rPr>
          <w:rFonts w:ascii="宋体" w:hAnsi="宋体" w:eastAsia="宋体" w:cs="宋体"/>
          <w:b/>
          <w:bCs/>
          <w:color w:val="auto"/>
          <w:sz w:val="21"/>
          <w:szCs w:val="21"/>
        </w:rPr>
        <w:t>6、分部信息</w:t>
      </w:r>
      <w:bookmarkEnd w:id="417"/>
    </w:p>
    <w:p w14:paraId="01A30E40">
      <w:pPr>
        <w:keepNext/>
        <w:keepLines/>
        <w:spacing w:before="300" w:after="300" w:line="280" w:lineRule="exact"/>
        <w:jc w:val="left"/>
        <w:outlineLvl w:val="3"/>
        <w:rPr>
          <w:rFonts w:ascii="宋体" w:hAnsi="宋体" w:eastAsia="宋体" w:cs="宋体"/>
          <w:b/>
          <w:bCs/>
          <w:color w:val="auto"/>
          <w:sz w:val="21"/>
          <w:szCs w:val="21"/>
        </w:rPr>
      </w:pPr>
      <w:bookmarkStart w:id="418" w:name="_Toc989394"/>
      <w:r>
        <w:rPr>
          <w:rFonts w:ascii="宋体" w:hAnsi="宋体" w:eastAsia="宋体" w:cs="宋体"/>
          <w:b/>
          <w:bCs/>
          <w:color w:val="auto"/>
          <w:sz w:val="21"/>
          <w:szCs w:val="21"/>
        </w:rPr>
        <w:t>（1）报告分部的确定依据与会计政策</w:t>
      </w:r>
      <w:bookmarkEnd w:id="418"/>
    </w:p>
    <w:p w14:paraId="7B758641">
      <w:pPr>
        <w:pStyle w:val="4"/>
        <w:keepNext w:val="0"/>
        <w:keepLines w:val="0"/>
        <w:widowControl/>
        <w:suppressLineNumbers w:val="0"/>
        <w:spacing w:line="400" w:lineRule="atLeast"/>
        <w:ind w:left="0" w:right="0" w:firstLine="420"/>
        <w:jc w:val="both"/>
        <w:rPr>
          <w:rFonts w:hint="default" w:ascii="Times New Roman" w:hAnsi="Times New Roman" w:cs="Times New Roman"/>
          <w:color w:val="auto"/>
          <w:sz w:val="24"/>
          <w:szCs w:val="24"/>
        </w:rPr>
      </w:pPr>
      <w:r>
        <w:rPr>
          <w:rFonts w:hint="eastAsia" w:ascii="宋体" w:hAnsi="宋体" w:eastAsia="宋体" w:cs="宋体"/>
          <w:color w:val="auto"/>
          <w:sz w:val="21"/>
          <w:szCs w:val="21"/>
        </w:rPr>
        <w:t>本公司管理层按照销售模式评价本公司的经营情况，本公司管理层通过审阅内部报告进行业绩评价并决定资源的分配。分部报告按照与本公司内部管理和报告一致的方式进行列报。分部会计政策与合并财务报表会计政策一致。</w:t>
      </w:r>
    </w:p>
    <w:p w14:paraId="42D0EF33">
      <w:pPr>
        <w:pStyle w:val="4"/>
        <w:keepNext w:val="0"/>
        <w:keepLines w:val="0"/>
        <w:widowControl/>
        <w:suppressLineNumbers w:val="0"/>
        <w:spacing w:line="400" w:lineRule="atLeast"/>
        <w:ind w:left="0" w:right="0"/>
        <w:rPr>
          <w:rFonts w:hint="default" w:ascii="Times New Roman" w:hAnsi="Times New Roman" w:cs="Times New Roman"/>
          <w:color w:val="auto"/>
          <w:sz w:val="24"/>
          <w:szCs w:val="24"/>
        </w:rPr>
      </w:pPr>
      <w:r>
        <w:rPr>
          <w:rStyle w:val="7"/>
          <w:rFonts w:hint="eastAsia" w:ascii="宋体" w:hAnsi="宋体" w:eastAsia="宋体" w:cs="宋体"/>
          <w:color w:val="auto"/>
          <w:sz w:val="21"/>
          <w:szCs w:val="21"/>
        </w:rPr>
        <w:t> 主营业务按销售模式分部情况如下：</w:t>
      </w:r>
    </w:p>
    <w:p w14:paraId="2700CD8C">
      <w:pPr>
        <w:pStyle w:val="4"/>
        <w:keepNext w:val="0"/>
        <w:keepLines w:val="0"/>
        <w:widowControl/>
        <w:suppressLineNumbers w:val="0"/>
        <w:spacing w:line="400" w:lineRule="atLeast"/>
        <w:ind w:left="0" w:right="0"/>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rPr>
        <w:t> </w:t>
      </w:r>
    </w:p>
    <w:tbl>
      <w:tblPr>
        <w:tblStyle w:val="5"/>
        <w:tblW w:w="70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528"/>
        <w:gridCol w:w="1446"/>
        <w:gridCol w:w="1330"/>
        <w:gridCol w:w="1446"/>
        <w:gridCol w:w="1330"/>
      </w:tblGrid>
      <w:tr w14:paraId="53086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70" w:hRule="atLeast"/>
        </w:trPr>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AC36C25">
            <w:pPr>
              <w:keepNext w:val="0"/>
              <w:keepLines w:val="0"/>
              <w:widowControl/>
              <w:suppressLineNumbers w:val="0"/>
              <w:jc w:val="center"/>
              <w:textAlignment w:val="center"/>
              <w:rPr>
                <w:rFonts w:ascii="等线" w:hAnsi="等线" w:eastAsia="等线" w:cs="等线"/>
                <w:i w:val="0"/>
                <w:iCs w:val="0"/>
                <w:color w:val="auto"/>
                <w:sz w:val="18"/>
                <w:szCs w:val="18"/>
                <w:u w:val="none"/>
              </w:rPr>
            </w:pPr>
            <w:r>
              <w:rPr>
                <w:rFonts w:hint="eastAsia" w:ascii="等线" w:hAnsi="等线" w:eastAsia="等线" w:cs="等线"/>
                <w:i w:val="0"/>
                <w:iCs w:val="0"/>
                <w:color w:val="auto"/>
                <w:kern w:val="0"/>
                <w:sz w:val="18"/>
                <w:szCs w:val="18"/>
                <w:u w:val="none"/>
                <w:lang w:val="en-US" w:eastAsia="zh-CN" w:bidi="ar"/>
              </w:rPr>
              <w:t>项目</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104E8D8">
            <w:pPr>
              <w:keepNext w:val="0"/>
              <w:keepLines w:val="0"/>
              <w:widowControl/>
              <w:suppressLineNumbers w:val="0"/>
              <w:jc w:val="center"/>
              <w:textAlignment w:val="center"/>
              <w:rPr>
                <w:rFonts w:hint="eastAsia" w:ascii="等线" w:hAnsi="等线" w:eastAsia="等线" w:cs="等线"/>
                <w:i w:val="0"/>
                <w:iCs w:val="0"/>
                <w:color w:val="auto"/>
                <w:sz w:val="18"/>
                <w:szCs w:val="18"/>
                <w:u w:val="none"/>
              </w:rPr>
            </w:pPr>
            <w:r>
              <w:rPr>
                <w:rFonts w:hint="eastAsia" w:ascii="等线" w:hAnsi="等线" w:eastAsia="等线" w:cs="等线"/>
                <w:i w:val="0"/>
                <w:iCs w:val="0"/>
                <w:color w:val="auto"/>
                <w:kern w:val="0"/>
                <w:sz w:val="18"/>
                <w:szCs w:val="18"/>
                <w:u w:val="none"/>
                <w:lang w:val="en-US" w:eastAsia="zh-CN" w:bidi="ar"/>
              </w:rPr>
              <w:t>本期发生额</w:t>
            </w:r>
          </w:p>
        </w:tc>
        <w:tc>
          <w:tcPr>
            <w:tcW w:w="167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55ACE5D">
            <w:pPr>
              <w:keepNext w:val="0"/>
              <w:keepLines w:val="0"/>
              <w:widowControl/>
              <w:suppressLineNumbers w:val="0"/>
              <w:jc w:val="center"/>
              <w:textAlignment w:val="center"/>
              <w:rPr>
                <w:rFonts w:hint="eastAsia" w:ascii="等线" w:hAnsi="等线" w:eastAsia="等线" w:cs="等线"/>
                <w:i w:val="0"/>
                <w:iCs w:val="0"/>
                <w:color w:val="auto"/>
                <w:sz w:val="18"/>
                <w:szCs w:val="18"/>
                <w:u w:val="none"/>
              </w:rPr>
            </w:pPr>
            <w:r>
              <w:rPr>
                <w:rFonts w:hint="eastAsia" w:ascii="等线" w:hAnsi="等线" w:eastAsia="等线" w:cs="等线"/>
                <w:i w:val="0"/>
                <w:iCs w:val="0"/>
                <w:color w:val="auto"/>
                <w:kern w:val="0"/>
                <w:sz w:val="18"/>
                <w:szCs w:val="18"/>
                <w:u w:val="none"/>
                <w:lang w:val="en-US" w:eastAsia="zh-CN" w:bidi="ar"/>
              </w:rPr>
              <w:t>上期发生额</w:t>
            </w:r>
          </w:p>
        </w:tc>
      </w:tr>
      <w:tr w14:paraId="1940B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0" w:hRule="atLeast"/>
        </w:trPr>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DE5DD8C">
            <w:pPr>
              <w:jc w:val="center"/>
              <w:rPr>
                <w:rFonts w:hint="eastAsia" w:ascii="等线" w:hAnsi="等线" w:eastAsia="等线" w:cs="等线"/>
                <w:i w:val="0"/>
                <w:iCs w:val="0"/>
                <w:color w:val="auto"/>
                <w:sz w:val="18"/>
                <w:szCs w:val="18"/>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E7B38ED">
            <w:pPr>
              <w:keepNext w:val="0"/>
              <w:keepLines w:val="0"/>
              <w:widowControl/>
              <w:suppressLineNumbers w:val="0"/>
              <w:jc w:val="center"/>
              <w:textAlignment w:val="center"/>
              <w:rPr>
                <w:rFonts w:hint="eastAsia" w:ascii="等线" w:hAnsi="等线" w:eastAsia="等线" w:cs="等线"/>
                <w:i w:val="0"/>
                <w:iCs w:val="0"/>
                <w:color w:val="auto"/>
                <w:sz w:val="18"/>
                <w:szCs w:val="18"/>
                <w:u w:val="none"/>
              </w:rPr>
            </w:pPr>
            <w:r>
              <w:rPr>
                <w:rFonts w:hint="eastAsia" w:ascii="等线" w:hAnsi="等线" w:eastAsia="等线" w:cs="等线"/>
                <w:i w:val="0"/>
                <w:iCs w:val="0"/>
                <w:color w:val="auto"/>
                <w:kern w:val="0"/>
                <w:sz w:val="18"/>
                <w:szCs w:val="18"/>
                <w:u w:val="none"/>
                <w:lang w:val="en-US" w:eastAsia="zh-CN" w:bidi="ar"/>
              </w:rPr>
              <w:t>主营业务收入</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4B4E94D">
            <w:pPr>
              <w:keepNext w:val="0"/>
              <w:keepLines w:val="0"/>
              <w:widowControl/>
              <w:suppressLineNumbers w:val="0"/>
              <w:jc w:val="center"/>
              <w:textAlignment w:val="center"/>
              <w:rPr>
                <w:rFonts w:hint="eastAsia" w:ascii="等线" w:hAnsi="等线" w:eastAsia="等线" w:cs="等线"/>
                <w:i w:val="0"/>
                <w:iCs w:val="0"/>
                <w:color w:val="auto"/>
                <w:sz w:val="18"/>
                <w:szCs w:val="18"/>
                <w:u w:val="none"/>
              </w:rPr>
            </w:pPr>
            <w:r>
              <w:rPr>
                <w:rFonts w:hint="eastAsia" w:ascii="等线" w:hAnsi="等线" w:eastAsia="等线" w:cs="等线"/>
                <w:i w:val="0"/>
                <w:iCs w:val="0"/>
                <w:color w:val="auto"/>
                <w:kern w:val="0"/>
                <w:sz w:val="18"/>
                <w:szCs w:val="18"/>
                <w:u w:val="none"/>
                <w:lang w:val="en-US" w:eastAsia="zh-CN" w:bidi="ar"/>
              </w:rPr>
              <w:t>主营业务成本</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53E459D">
            <w:pPr>
              <w:keepNext w:val="0"/>
              <w:keepLines w:val="0"/>
              <w:widowControl/>
              <w:suppressLineNumbers w:val="0"/>
              <w:jc w:val="center"/>
              <w:textAlignment w:val="center"/>
              <w:rPr>
                <w:rFonts w:hint="eastAsia" w:ascii="等线" w:hAnsi="等线" w:eastAsia="等线" w:cs="等线"/>
                <w:i w:val="0"/>
                <w:iCs w:val="0"/>
                <w:color w:val="auto"/>
                <w:sz w:val="18"/>
                <w:szCs w:val="18"/>
                <w:u w:val="none"/>
              </w:rPr>
            </w:pPr>
            <w:r>
              <w:rPr>
                <w:rFonts w:hint="eastAsia" w:ascii="等线" w:hAnsi="等线" w:eastAsia="等线" w:cs="等线"/>
                <w:i w:val="0"/>
                <w:iCs w:val="0"/>
                <w:color w:val="auto"/>
                <w:kern w:val="0"/>
                <w:sz w:val="18"/>
                <w:szCs w:val="18"/>
                <w:u w:val="none"/>
                <w:lang w:val="en-US" w:eastAsia="zh-CN" w:bidi="ar"/>
              </w:rPr>
              <w:t>主营业务收入</w:t>
            </w:r>
          </w:p>
        </w:tc>
        <w:tc>
          <w:tcPr>
            <w:tcW w:w="8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1581A68">
            <w:pPr>
              <w:keepNext w:val="0"/>
              <w:keepLines w:val="0"/>
              <w:widowControl/>
              <w:suppressLineNumbers w:val="0"/>
              <w:jc w:val="center"/>
              <w:textAlignment w:val="center"/>
              <w:rPr>
                <w:rFonts w:hint="eastAsia" w:ascii="等线" w:hAnsi="等线" w:eastAsia="等线" w:cs="等线"/>
                <w:i w:val="0"/>
                <w:iCs w:val="0"/>
                <w:color w:val="auto"/>
                <w:sz w:val="18"/>
                <w:szCs w:val="18"/>
                <w:u w:val="none"/>
              </w:rPr>
            </w:pPr>
            <w:r>
              <w:rPr>
                <w:rFonts w:hint="eastAsia" w:ascii="等线" w:hAnsi="等线" w:eastAsia="等线" w:cs="等线"/>
                <w:i w:val="0"/>
                <w:iCs w:val="0"/>
                <w:color w:val="auto"/>
                <w:kern w:val="0"/>
                <w:sz w:val="18"/>
                <w:szCs w:val="18"/>
                <w:u w:val="none"/>
                <w:lang w:val="en-US" w:eastAsia="zh-CN" w:bidi="ar"/>
              </w:rPr>
              <w:t>主营业务成本</w:t>
            </w:r>
          </w:p>
        </w:tc>
      </w:tr>
      <w:tr w14:paraId="28859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138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5DAAF84">
            <w:pPr>
              <w:keepNext w:val="0"/>
              <w:keepLines w:val="0"/>
              <w:widowControl/>
              <w:suppressLineNumbers w:val="0"/>
              <w:jc w:val="left"/>
              <w:textAlignment w:val="center"/>
              <w:rPr>
                <w:rFonts w:hint="eastAsia" w:ascii="等线" w:hAnsi="等线" w:eastAsia="等线" w:cs="等线"/>
                <w:i w:val="0"/>
                <w:iCs w:val="0"/>
                <w:color w:val="auto"/>
                <w:sz w:val="18"/>
                <w:szCs w:val="18"/>
                <w:u w:val="none"/>
              </w:rPr>
            </w:pPr>
            <w:r>
              <w:rPr>
                <w:rFonts w:hint="eastAsia" w:ascii="等线" w:hAnsi="等线" w:eastAsia="等线" w:cs="等线"/>
                <w:i w:val="0"/>
                <w:iCs w:val="0"/>
                <w:color w:val="auto"/>
                <w:kern w:val="0"/>
                <w:sz w:val="18"/>
                <w:szCs w:val="18"/>
                <w:u w:val="none"/>
                <w:lang w:val="en-US" w:eastAsia="zh-CN" w:bidi="ar"/>
              </w:rPr>
              <w:t>直销</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CD3A2E0">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140,323,716.83</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663EC57">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31,165,020.22</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2E0DF1B2">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140,156,474.15</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4EF6F48">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33,262,232.92</w:t>
            </w:r>
          </w:p>
        </w:tc>
      </w:tr>
      <w:tr w14:paraId="5C6CE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138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04500B94">
            <w:pPr>
              <w:keepNext w:val="0"/>
              <w:keepLines w:val="0"/>
              <w:widowControl/>
              <w:suppressLineNumbers w:val="0"/>
              <w:jc w:val="left"/>
              <w:textAlignment w:val="center"/>
              <w:rPr>
                <w:rFonts w:hint="eastAsia" w:ascii="等线" w:hAnsi="等线" w:eastAsia="等线" w:cs="等线"/>
                <w:i w:val="0"/>
                <w:iCs w:val="0"/>
                <w:color w:val="auto"/>
                <w:sz w:val="18"/>
                <w:szCs w:val="18"/>
                <w:u w:val="none"/>
              </w:rPr>
            </w:pPr>
            <w:r>
              <w:rPr>
                <w:rFonts w:hint="eastAsia" w:ascii="等线" w:hAnsi="等线" w:eastAsia="等线" w:cs="等线"/>
                <w:i w:val="0"/>
                <w:iCs w:val="0"/>
                <w:color w:val="auto"/>
                <w:kern w:val="0"/>
                <w:sz w:val="18"/>
                <w:szCs w:val="18"/>
                <w:u w:val="none"/>
                <w:lang w:val="en-US" w:eastAsia="zh-CN" w:bidi="ar"/>
              </w:rPr>
              <w:t>经销</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39F65DA">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20,273,435.22</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5622F10D">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14,958,506.23</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13DC052">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27,221,977.27</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ACB06E8">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21,370,911.70</w:t>
            </w:r>
          </w:p>
        </w:tc>
      </w:tr>
      <w:tr w14:paraId="4BAAB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81" w:hRule="atLeast"/>
        </w:trPr>
        <w:tc>
          <w:tcPr>
            <w:tcW w:w="138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498A79F">
            <w:pPr>
              <w:keepNext w:val="0"/>
              <w:keepLines w:val="0"/>
              <w:widowControl/>
              <w:suppressLineNumbers w:val="0"/>
              <w:jc w:val="left"/>
              <w:textAlignment w:val="center"/>
              <w:rPr>
                <w:rFonts w:hint="eastAsia" w:ascii="等线" w:hAnsi="等线" w:eastAsia="等线" w:cs="等线"/>
                <w:i w:val="0"/>
                <w:iCs w:val="0"/>
                <w:color w:val="auto"/>
                <w:sz w:val="18"/>
                <w:szCs w:val="18"/>
                <w:u w:val="none"/>
              </w:rPr>
            </w:pPr>
            <w:r>
              <w:rPr>
                <w:rFonts w:hint="eastAsia" w:ascii="等线" w:hAnsi="等线" w:eastAsia="等线" w:cs="等线"/>
                <w:i w:val="0"/>
                <w:iCs w:val="0"/>
                <w:color w:val="auto"/>
                <w:kern w:val="0"/>
                <w:sz w:val="18"/>
                <w:szCs w:val="18"/>
                <w:u w:val="none"/>
                <w:lang w:val="en-US" w:eastAsia="zh-CN" w:bidi="ar"/>
              </w:rPr>
              <w:t>政府采购</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59AB945">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44,614,387.88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4DFCEDD">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31,561,200.65</w:t>
            </w:r>
          </w:p>
        </w:tc>
        <w:tc>
          <w:tcPr>
            <w:tcW w:w="13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4DFC7E0">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48,567,112.38</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32F43A30">
            <w:pPr>
              <w:keepNext w:val="0"/>
              <w:keepLines w:val="0"/>
              <w:widowControl/>
              <w:suppressLineNumbers w:val="0"/>
              <w:jc w:val="right"/>
              <w:textAlignment w:val="center"/>
              <w:rPr>
                <w:rFonts w:hint="default" w:ascii="Times New Roman" w:hAnsi="Times New Roman"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bidi="ar"/>
              </w:rPr>
              <w:t>28,369,811.82</w:t>
            </w:r>
          </w:p>
        </w:tc>
      </w:tr>
    </w:tbl>
    <w:p w14:paraId="19059A99">
      <w:pPr>
        <w:keepNext/>
        <w:keepLines/>
        <w:spacing w:before="300" w:after="300" w:line="280" w:lineRule="exact"/>
        <w:jc w:val="left"/>
        <w:outlineLvl w:val="3"/>
        <w:rPr>
          <w:rFonts w:ascii="宋体" w:hAnsi="宋体" w:eastAsia="宋体" w:cs="宋体"/>
          <w:b/>
          <w:bCs/>
          <w:color w:val="auto"/>
          <w:sz w:val="21"/>
          <w:szCs w:val="21"/>
        </w:rPr>
      </w:pPr>
      <w:bookmarkStart w:id="419" w:name="_Toc989395"/>
      <w:r>
        <w:rPr>
          <w:rFonts w:ascii="宋体" w:hAnsi="宋体" w:eastAsia="宋体" w:cs="宋体"/>
          <w:b/>
          <w:bCs/>
          <w:color w:val="auto"/>
          <w:sz w:val="21"/>
          <w:szCs w:val="21"/>
        </w:rPr>
        <w:t>（2）报告分部的财务信息</w:t>
      </w:r>
      <w:bookmarkEnd w:id="419"/>
    </w:p>
    <w:p w14:paraId="22297D2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195439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87175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2410" w:type="dxa"/>
            <w:tcBorders>
              <w:top w:val="single" w:color="auto" w:sz="2" w:space="0"/>
              <w:left w:val="single" w:color="auto" w:sz="2" w:space="0"/>
              <w:bottom w:val="single" w:color="auto" w:sz="2" w:space="0"/>
              <w:right w:val="single" w:color="auto" w:sz="2" w:space="0"/>
            </w:tcBorders>
            <w:vAlign w:val="center"/>
          </w:tcPr>
          <w:p w14:paraId="7F73F0EE">
            <w:pPr>
              <w:spacing w:before="0" w:after="0" w:line="240" w:lineRule="exact"/>
              <w:jc w:val="center"/>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F7D17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分部间抵销</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D2126A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6C5E06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6713EEC">
            <w:pPr>
              <w:spacing w:before="0" w:after="0" w:line="240" w:lineRule="exact"/>
              <w:jc w:val="lef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BFCC70F">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AC537FF">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C67ED13">
            <w:pPr>
              <w:spacing w:before="0" w:after="0" w:line="240" w:lineRule="exact"/>
              <w:jc w:val="right"/>
              <w:rPr>
                <w:rFonts w:ascii="宋体" w:hAnsi="宋体" w:eastAsia="宋体" w:cs="宋体"/>
                <w:color w:val="auto"/>
                <w:sz w:val="18"/>
                <w:szCs w:val="18"/>
              </w:rPr>
            </w:pPr>
          </w:p>
        </w:tc>
      </w:tr>
    </w:tbl>
    <w:p w14:paraId="6E963F20">
      <w:pPr>
        <w:keepNext/>
        <w:keepLines/>
        <w:spacing w:before="300" w:after="300" w:line="280" w:lineRule="exact"/>
        <w:jc w:val="left"/>
        <w:outlineLvl w:val="3"/>
        <w:rPr>
          <w:rFonts w:ascii="宋体" w:hAnsi="宋体" w:eastAsia="宋体" w:cs="宋体"/>
          <w:b/>
          <w:bCs/>
          <w:color w:val="auto"/>
          <w:sz w:val="21"/>
          <w:szCs w:val="21"/>
        </w:rPr>
      </w:pPr>
      <w:bookmarkStart w:id="420" w:name="_Toc989396"/>
      <w:r>
        <w:rPr>
          <w:rFonts w:ascii="宋体" w:hAnsi="宋体" w:eastAsia="宋体" w:cs="宋体"/>
          <w:b/>
          <w:bCs/>
          <w:color w:val="auto"/>
          <w:sz w:val="21"/>
          <w:szCs w:val="21"/>
        </w:rPr>
        <w:t>（3）公司无报告分部的，或者不能披露各报告分部的资产总额和负债总额的，应说明原因。</w:t>
      </w:r>
      <w:bookmarkEnd w:id="420"/>
    </w:p>
    <w:p w14:paraId="4C733963">
      <w:pPr>
        <w:keepNext/>
        <w:keepLines/>
        <w:spacing w:before="300" w:after="300" w:line="280" w:lineRule="exact"/>
        <w:jc w:val="left"/>
        <w:outlineLvl w:val="3"/>
        <w:rPr>
          <w:rFonts w:ascii="宋体" w:hAnsi="宋体" w:eastAsia="宋体" w:cs="宋体"/>
          <w:b/>
          <w:bCs/>
          <w:color w:val="auto"/>
          <w:sz w:val="21"/>
          <w:szCs w:val="21"/>
        </w:rPr>
      </w:pPr>
      <w:bookmarkStart w:id="421" w:name="_Toc989397"/>
      <w:r>
        <w:rPr>
          <w:rFonts w:ascii="宋体" w:hAnsi="宋体" w:eastAsia="宋体" w:cs="宋体"/>
          <w:b/>
          <w:bCs/>
          <w:color w:val="auto"/>
          <w:sz w:val="21"/>
          <w:szCs w:val="21"/>
        </w:rPr>
        <w:t>（4）其他说明</w:t>
      </w:r>
      <w:bookmarkEnd w:id="421"/>
    </w:p>
    <w:p w14:paraId="0423B3EB">
      <w:pPr>
        <w:keepNext/>
        <w:keepLines/>
        <w:spacing w:before="300" w:after="300" w:line="280" w:lineRule="exact"/>
        <w:jc w:val="left"/>
        <w:outlineLvl w:val="2"/>
        <w:rPr>
          <w:rFonts w:ascii="宋体" w:hAnsi="宋体" w:eastAsia="宋体" w:cs="宋体"/>
          <w:b/>
          <w:bCs/>
          <w:color w:val="auto"/>
          <w:sz w:val="21"/>
          <w:szCs w:val="21"/>
        </w:rPr>
      </w:pPr>
      <w:bookmarkStart w:id="422" w:name="_Toc989398"/>
      <w:r>
        <w:rPr>
          <w:rFonts w:ascii="宋体" w:hAnsi="宋体" w:eastAsia="宋体" w:cs="宋体"/>
          <w:b/>
          <w:bCs/>
          <w:color w:val="auto"/>
          <w:sz w:val="21"/>
          <w:szCs w:val="21"/>
        </w:rPr>
        <w:t>7、其他对投资者决策有影响的重要交易和事项</w:t>
      </w:r>
      <w:bookmarkEnd w:id="422"/>
    </w:p>
    <w:p w14:paraId="478DADCB">
      <w:pPr>
        <w:keepNext/>
        <w:keepLines/>
        <w:spacing w:before="300" w:after="300" w:line="280" w:lineRule="exact"/>
        <w:jc w:val="left"/>
        <w:outlineLvl w:val="2"/>
        <w:rPr>
          <w:rFonts w:ascii="宋体" w:hAnsi="宋体" w:eastAsia="宋体" w:cs="宋体"/>
          <w:b/>
          <w:bCs/>
          <w:color w:val="auto"/>
          <w:sz w:val="21"/>
          <w:szCs w:val="21"/>
        </w:rPr>
      </w:pPr>
      <w:bookmarkStart w:id="423" w:name="_Toc989399"/>
      <w:r>
        <w:rPr>
          <w:rFonts w:ascii="宋体" w:hAnsi="宋体" w:eastAsia="宋体" w:cs="宋体"/>
          <w:b/>
          <w:bCs/>
          <w:color w:val="auto"/>
          <w:sz w:val="21"/>
          <w:szCs w:val="21"/>
        </w:rPr>
        <w:t>8、其他</w:t>
      </w:r>
      <w:bookmarkEnd w:id="423"/>
    </w:p>
    <w:p w14:paraId="55209A53">
      <w:pPr>
        <w:keepNext/>
        <w:keepLines/>
        <w:spacing w:before="300" w:after="300" w:line="320" w:lineRule="exact"/>
        <w:jc w:val="left"/>
        <w:outlineLvl w:val="1"/>
        <w:rPr>
          <w:rFonts w:ascii="宋体" w:hAnsi="宋体" w:eastAsia="宋体" w:cs="宋体"/>
          <w:b/>
          <w:bCs/>
          <w:color w:val="auto"/>
          <w:sz w:val="24"/>
          <w:szCs w:val="24"/>
        </w:rPr>
      </w:pPr>
      <w:bookmarkStart w:id="424" w:name="_Toc989400"/>
      <w:r>
        <w:rPr>
          <w:rFonts w:ascii="宋体" w:hAnsi="宋体" w:eastAsia="宋体" w:cs="宋体"/>
          <w:b/>
          <w:bCs/>
          <w:color w:val="auto"/>
          <w:sz w:val="24"/>
          <w:szCs w:val="24"/>
        </w:rPr>
        <w:t>十九、母公司财务报表主要项目注释</w:t>
      </w:r>
      <w:bookmarkEnd w:id="424"/>
    </w:p>
    <w:p w14:paraId="10D4A13F">
      <w:pPr>
        <w:keepNext/>
        <w:keepLines/>
        <w:spacing w:before="300" w:after="300" w:line="280" w:lineRule="exact"/>
        <w:jc w:val="left"/>
        <w:outlineLvl w:val="2"/>
        <w:rPr>
          <w:rFonts w:ascii="宋体" w:hAnsi="宋体" w:eastAsia="宋体" w:cs="宋体"/>
          <w:b/>
          <w:bCs/>
          <w:color w:val="auto"/>
          <w:sz w:val="21"/>
          <w:szCs w:val="21"/>
        </w:rPr>
      </w:pPr>
      <w:bookmarkStart w:id="425" w:name="_Toc989401"/>
      <w:r>
        <w:rPr>
          <w:rFonts w:ascii="宋体" w:hAnsi="宋体" w:eastAsia="宋体" w:cs="宋体"/>
          <w:b/>
          <w:bCs/>
          <w:color w:val="auto"/>
          <w:sz w:val="21"/>
          <w:szCs w:val="21"/>
        </w:rPr>
        <w:t>1、应收账款</w:t>
      </w:r>
      <w:bookmarkEnd w:id="425"/>
    </w:p>
    <w:p w14:paraId="365EAEEC">
      <w:pPr>
        <w:keepNext/>
        <w:keepLines/>
        <w:spacing w:before="300" w:after="300" w:line="280" w:lineRule="exact"/>
        <w:jc w:val="left"/>
        <w:outlineLvl w:val="3"/>
        <w:rPr>
          <w:rFonts w:ascii="宋体" w:hAnsi="宋体" w:eastAsia="宋体" w:cs="宋体"/>
          <w:b/>
          <w:bCs/>
          <w:color w:val="auto"/>
          <w:sz w:val="21"/>
          <w:szCs w:val="21"/>
        </w:rPr>
      </w:pPr>
      <w:bookmarkStart w:id="426" w:name="_Toc989402"/>
      <w:r>
        <w:rPr>
          <w:rFonts w:ascii="宋体" w:hAnsi="宋体" w:eastAsia="宋体" w:cs="宋体"/>
          <w:b/>
          <w:bCs/>
          <w:color w:val="auto"/>
          <w:sz w:val="21"/>
          <w:szCs w:val="21"/>
        </w:rPr>
        <w:t>（1）按账龄披露</w:t>
      </w:r>
      <w:bookmarkEnd w:id="426"/>
    </w:p>
    <w:p w14:paraId="4C3E5E0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51590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F0C4A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C0ACC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EB590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期初账面余额</w:t>
            </w:r>
          </w:p>
        </w:tc>
      </w:tr>
      <w:tr w14:paraId="03BCFC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0DF52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43E9D7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42,738,283.98</w:t>
            </w:r>
          </w:p>
        </w:tc>
        <w:tc>
          <w:tcPr>
            <w:tcW w:w="3213" w:type="dxa"/>
            <w:tcBorders>
              <w:top w:val="single" w:color="auto" w:sz="2" w:space="0"/>
              <w:left w:val="single" w:color="auto" w:sz="2" w:space="0"/>
              <w:bottom w:val="single" w:color="auto" w:sz="2" w:space="0"/>
              <w:right w:val="single" w:color="auto" w:sz="2" w:space="0"/>
            </w:tcBorders>
            <w:vAlign w:val="center"/>
          </w:tcPr>
          <w:p w14:paraId="1C4EAC9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76,506,982.73</w:t>
            </w:r>
          </w:p>
        </w:tc>
      </w:tr>
      <w:tr w14:paraId="2CE127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1619D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6215FB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55,027,785.55</w:t>
            </w:r>
          </w:p>
        </w:tc>
        <w:tc>
          <w:tcPr>
            <w:tcW w:w="3213" w:type="dxa"/>
            <w:tcBorders>
              <w:top w:val="single" w:color="auto" w:sz="2" w:space="0"/>
              <w:left w:val="single" w:color="auto" w:sz="2" w:space="0"/>
              <w:bottom w:val="single" w:color="auto" w:sz="2" w:space="0"/>
              <w:right w:val="single" w:color="auto" w:sz="2" w:space="0"/>
            </w:tcBorders>
            <w:vAlign w:val="center"/>
          </w:tcPr>
          <w:p w14:paraId="0602DFD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10,202,657.15</w:t>
            </w:r>
          </w:p>
        </w:tc>
      </w:tr>
      <w:tr w14:paraId="7A8383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1B71B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7E2A3D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174,777.94</w:t>
            </w:r>
          </w:p>
        </w:tc>
        <w:tc>
          <w:tcPr>
            <w:tcW w:w="3213" w:type="dxa"/>
            <w:tcBorders>
              <w:top w:val="single" w:color="auto" w:sz="2" w:space="0"/>
              <w:left w:val="single" w:color="auto" w:sz="2" w:space="0"/>
              <w:bottom w:val="single" w:color="auto" w:sz="2" w:space="0"/>
              <w:right w:val="single" w:color="auto" w:sz="2" w:space="0"/>
            </w:tcBorders>
            <w:vAlign w:val="center"/>
          </w:tcPr>
          <w:p w14:paraId="6ABA15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271,562.94</w:t>
            </w:r>
          </w:p>
        </w:tc>
      </w:tr>
      <w:tr w14:paraId="459826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5AF34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2AFE0E3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1,024,066.89</w:t>
            </w:r>
          </w:p>
        </w:tc>
        <w:tc>
          <w:tcPr>
            <w:tcW w:w="3213" w:type="dxa"/>
            <w:tcBorders>
              <w:top w:val="single" w:color="auto" w:sz="2" w:space="0"/>
              <w:left w:val="single" w:color="auto" w:sz="2" w:space="0"/>
              <w:bottom w:val="single" w:color="auto" w:sz="2" w:space="0"/>
              <w:right w:val="single" w:color="auto" w:sz="2" w:space="0"/>
            </w:tcBorders>
            <w:vAlign w:val="center"/>
          </w:tcPr>
          <w:p w14:paraId="5EDE5F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1,126,370.89</w:t>
            </w:r>
          </w:p>
        </w:tc>
      </w:tr>
      <w:tr w14:paraId="011AA2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537938">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4AE26C3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430,630.33</w:t>
            </w:r>
          </w:p>
        </w:tc>
        <w:tc>
          <w:tcPr>
            <w:tcW w:w="3213" w:type="dxa"/>
            <w:tcBorders>
              <w:top w:val="single" w:color="auto" w:sz="2" w:space="0"/>
              <w:left w:val="single" w:color="auto" w:sz="2" w:space="0"/>
              <w:bottom w:val="single" w:color="auto" w:sz="2" w:space="0"/>
              <w:right w:val="single" w:color="auto" w:sz="2" w:space="0"/>
            </w:tcBorders>
            <w:vAlign w:val="center"/>
          </w:tcPr>
          <w:p w14:paraId="6F00E5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534,187.13</w:t>
            </w:r>
          </w:p>
        </w:tc>
      </w:tr>
      <w:tr w14:paraId="692CF2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51FBD4">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1444A1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22,817.27</w:t>
            </w:r>
          </w:p>
        </w:tc>
        <w:tc>
          <w:tcPr>
            <w:tcW w:w="3213" w:type="dxa"/>
            <w:tcBorders>
              <w:top w:val="single" w:color="auto" w:sz="2" w:space="0"/>
              <w:left w:val="single" w:color="auto" w:sz="2" w:space="0"/>
              <w:bottom w:val="single" w:color="auto" w:sz="2" w:space="0"/>
              <w:right w:val="single" w:color="auto" w:sz="2" w:space="0"/>
            </w:tcBorders>
            <w:vAlign w:val="center"/>
          </w:tcPr>
          <w:p w14:paraId="253B9A4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84,447.87</w:t>
            </w:r>
          </w:p>
        </w:tc>
      </w:tr>
      <w:tr w14:paraId="15CFA9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D91750">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4A6E75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570,619.29</w:t>
            </w:r>
          </w:p>
        </w:tc>
        <w:tc>
          <w:tcPr>
            <w:tcW w:w="3213" w:type="dxa"/>
            <w:tcBorders>
              <w:top w:val="single" w:color="auto" w:sz="2" w:space="0"/>
              <w:left w:val="single" w:color="auto" w:sz="2" w:space="0"/>
              <w:bottom w:val="single" w:color="auto" w:sz="2" w:space="0"/>
              <w:right w:val="single" w:color="auto" w:sz="2" w:space="0"/>
            </w:tcBorders>
            <w:vAlign w:val="center"/>
          </w:tcPr>
          <w:p w14:paraId="44B5CD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507,735.89</w:t>
            </w:r>
          </w:p>
        </w:tc>
      </w:tr>
      <w:tr w14:paraId="2F5489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40E48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DA74B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98,964,914.36</w:t>
            </w:r>
          </w:p>
        </w:tc>
        <w:tc>
          <w:tcPr>
            <w:tcW w:w="3213" w:type="dxa"/>
            <w:tcBorders>
              <w:top w:val="single" w:color="auto" w:sz="2" w:space="0"/>
              <w:left w:val="single" w:color="auto" w:sz="2" w:space="0"/>
              <w:bottom w:val="single" w:color="auto" w:sz="2" w:space="0"/>
              <w:right w:val="single" w:color="auto" w:sz="2" w:space="0"/>
            </w:tcBorders>
            <w:vAlign w:val="center"/>
          </w:tcPr>
          <w:p w14:paraId="69F1419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88,107,573.71</w:t>
            </w:r>
          </w:p>
        </w:tc>
      </w:tr>
    </w:tbl>
    <w:p w14:paraId="0A40AEC1">
      <w:pPr>
        <w:keepNext/>
        <w:keepLines/>
        <w:spacing w:before="300" w:after="300" w:line="280" w:lineRule="exact"/>
        <w:jc w:val="left"/>
        <w:outlineLvl w:val="3"/>
        <w:rPr>
          <w:rFonts w:ascii="宋体" w:hAnsi="宋体" w:eastAsia="宋体" w:cs="宋体"/>
          <w:b/>
          <w:bCs/>
          <w:color w:val="auto"/>
          <w:sz w:val="21"/>
          <w:szCs w:val="21"/>
        </w:rPr>
      </w:pPr>
      <w:bookmarkStart w:id="427" w:name="_Toc989403"/>
      <w:r>
        <w:rPr>
          <w:rFonts w:ascii="宋体" w:hAnsi="宋体" w:eastAsia="宋体" w:cs="宋体"/>
          <w:b/>
          <w:bCs/>
          <w:color w:val="auto"/>
          <w:sz w:val="21"/>
          <w:szCs w:val="21"/>
        </w:rPr>
        <w:t>（2）按坏账计提方法分类披露</w:t>
      </w:r>
      <w:bookmarkEnd w:id="427"/>
    </w:p>
    <w:p w14:paraId="3E3670A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0A59B2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8D2AD1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94C5F8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E46364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53C2EF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6769B3B">
            <w:pPr>
              <w:rPr>
                <w:color w:val="auto"/>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AD687E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8F2660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34E383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273338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2B4155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9F244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31F158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10DE403">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A7C8B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5CB4E3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78D448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42E1C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94E85EE">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5A6F7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475D06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23C504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3F8DDD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38B2D05">
            <w:pPr>
              <w:rPr>
                <w:color w:val="auto"/>
              </w:rPr>
            </w:pPr>
          </w:p>
        </w:tc>
      </w:tr>
      <w:tr w14:paraId="0DE273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219289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按单项计提坏账准备的应收账款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6C46334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362F993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0.64%</w:t>
            </w:r>
          </w:p>
        </w:tc>
        <w:tc>
          <w:tcPr>
            <w:tcW w:w="876" w:type="dxa"/>
            <w:tcBorders>
              <w:top w:val="single" w:color="auto" w:sz="2" w:space="0"/>
              <w:left w:val="single" w:color="auto" w:sz="2" w:space="0"/>
              <w:bottom w:val="single" w:color="auto" w:sz="2" w:space="0"/>
              <w:right w:val="single" w:color="auto" w:sz="2" w:space="0"/>
            </w:tcBorders>
            <w:vAlign w:val="center"/>
          </w:tcPr>
          <w:p w14:paraId="5E1B061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2AD09B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06D5FB10">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6A4B8B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1DEF53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0.72%</w:t>
            </w:r>
          </w:p>
        </w:tc>
        <w:tc>
          <w:tcPr>
            <w:tcW w:w="876" w:type="dxa"/>
            <w:tcBorders>
              <w:top w:val="single" w:color="auto" w:sz="2" w:space="0"/>
              <w:left w:val="single" w:color="auto" w:sz="2" w:space="0"/>
              <w:bottom w:val="single" w:color="auto" w:sz="2" w:space="0"/>
              <w:right w:val="single" w:color="auto" w:sz="2" w:space="0"/>
            </w:tcBorders>
            <w:vAlign w:val="center"/>
          </w:tcPr>
          <w:p w14:paraId="70CF54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876" w:type="dxa"/>
            <w:tcBorders>
              <w:top w:val="single" w:color="auto" w:sz="2" w:space="0"/>
              <w:left w:val="single" w:color="auto" w:sz="2" w:space="0"/>
              <w:bottom w:val="single" w:color="auto" w:sz="2" w:space="0"/>
              <w:right w:val="single" w:color="auto" w:sz="2" w:space="0"/>
            </w:tcBorders>
            <w:vAlign w:val="center"/>
          </w:tcPr>
          <w:p w14:paraId="56E380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304D6A7">
            <w:pPr>
              <w:spacing w:before="0" w:after="0" w:line="240" w:lineRule="exact"/>
              <w:jc w:val="right"/>
              <w:rPr>
                <w:rFonts w:ascii="宋体" w:hAnsi="宋体" w:eastAsia="宋体" w:cs="宋体"/>
                <w:color w:val="auto"/>
                <w:sz w:val="18"/>
                <w:szCs w:val="18"/>
              </w:rPr>
            </w:pPr>
          </w:p>
        </w:tc>
      </w:tr>
      <w:tr w14:paraId="390688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232B06C">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44D061D">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1F0A638">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CBB9DA8">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D0F5C21">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90532C7">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4C39970">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E113634">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60FEBAE">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76865B9">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D2E5772">
            <w:pPr>
              <w:rPr>
                <w:color w:val="auto"/>
              </w:rPr>
            </w:pPr>
          </w:p>
        </w:tc>
      </w:tr>
      <w:tr w14:paraId="10C88F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314BE4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0CCC57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98,329,985.29</w:t>
            </w:r>
          </w:p>
        </w:tc>
        <w:tc>
          <w:tcPr>
            <w:tcW w:w="876" w:type="dxa"/>
            <w:tcBorders>
              <w:top w:val="single" w:color="auto" w:sz="2" w:space="0"/>
              <w:left w:val="single" w:color="auto" w:sz="2" w:space="0"/>
              <w:bottom w:val="single" w:color="auto" w:sz="2" w:space="0"/>
              <w:right w:val="single" w:color="auto" w:sz="2" w:space="0"/>
            </w:tcBorders>
            <w:vAlign w:val="center"/>
          </w:tcPr>
          <w:p w14:paraId="757663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99.36%</w:t>
            </w:r>
          </w:p>
        </w:tc>
        <w:tc>
          <w:tcPr>
            <w:tcW w:w="876" w:type="dxa"/>
            <w:tcBorders>
              <w:top w:val="single" w:color="auto" w:sz="2" w:space="0"/>
              <w:left w:val="single" w:color="auto" w:sz="2" w:space="0"/>
              <w:bottom w:val="single" w:color="auto" w:sz="2" w:space="0"/>
              <w:right w:val="single" w:color="auto" w:sz="2" w:space="0"/>
            </w:tcBorders>
            <w:vAlign w:val="center"/>
          </w:tcPr>
          <w:p w14:paraId="1015F7C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1,201,294.37</w:t>
            </w:r>
          </w:p>
        </w:tc>
        <w:tc>
          <w:tcPr>
            <w:tcW w:w="876" w:type="dxa"/>
            <w:tcBorders>
              <w:top w:val="single" w:color="auto" w:sz="2" w:space="0"/>
              <w:left w:val="single" w:color="auto" w:sz="2" w:space="0"/>
              <w:bottom w:val="single" w:color="auto" w:sz="2" w:space="0"/>
              <w:right w:val="single" w:color="auto" w:sz="2" w:space="0"/>
            </w:tcBorders>
            <w:vAlign w:val="center"/>
          </w:tcPr>
          <w:p w14:paraId="7C8F913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1.22%</w:t>
            </w:r>
          </w:p>
        </w:tc>
        <w:tc>
          <w:tcPr>
            <w:tcW w:w="876" w:type="dxa"/>
            <w:tcBorders>
              <w:top w:val="single" w:color="auto" w:sz="2" w:space="0"/>
              <w:left w:val="single" w:color="auto" w:sz="2" w:space="0"/>
              <w:bottom w:val="single" w:color="auto" w:sz="2" w:space="0"/>
              <w:right w:val="single" w:color="auto" w:sz="2" w:space="0"/>
            </w:tcBorders>
            <w:vAlign w:val="center"/>
          </w:tcPr>
          <w:p w14:paraId="54FA825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97,128,690.92</w:t>
            </w:r>
          </w:p>
        </w:tc>
        <w:tc>
          <w:tcPr>
            <w:tcW w:w="876" w:type="dxa"/>
            <w:tcBorders>
              <w:top w:val="single" w:color="auto" w:sz="2" w:space="0"/>
              <w:left w:val="single" w:color="auto" w:sz="2" w:space="0"/>
              <w:bottom w:val="single" w:color="auto" w:sz="2" w:space="0"/>
              <w:right w:val="single" w:color="auto" w:sz="2" w:space="0"/>
            </w:tcBorders>
            <w:vAlign w:val="center"/>
          </w:tcPr>
          <w:p w14:paraId="7D2EA6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87,472,644.64</w:t>
            </w:r>
          </w:p>
        </w:tc>
        <w:tc>
          <w:tcPr>
            <w:tcW w:w="876" w:type="dxa"/>
            <w:tcBorders>
              <w:top w:val="single" w:color="auto" w:sz="2" w:space="0"/>
              <w:left w:val="single" w:color="auto" w:sz="2" w:space="0"/>
              <w:bottom w:val="single" w:color="auto" w:sz="2" w:space="0"/>
              <w:right w:val="single" w:color="auto" w:sz="2" w:space="0"/>
            </w:tcBorders>
            <w:vAlign w:val="center"/>
          </w:tcPr>
          <w:p w14:paraId="2CB19B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99.28%</w:t>
            </w:r>
          </w:p>
        </w:tc>
        <w:tc>
          <w:tcPr>
            <w:tcW w:w="876" w:type="dxa"/>
            <w:tcBorders>
              <w:top w:val="single" w:color="auto" w:sz="2" w:space="0"/>
              <w:left w:val="single" w:color="auto" w:sz="2" w:space="0"/>
              <w:bottom w:val="single" w:color="auto" w:sz="2" w:space="0"/>
              <w:right w:val="single" w:color="auto" w:sz="2" w:space="0"/>
            </w:tcBorders>
            <w:vAlign w:val="center"/>
          </w:tcPr>
          <w:p w14:paraId="6117AD9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1,017,119.97</w:t>
            </w:r>
          </w:p>
        </w:tc>
        <w:tc>
          <w:tcPr>
            <w:tcW w:w="876" w:type="dxa"/>
            <w:tcBorders>
              <w:top w:val="single" w:color="auto" w:sz="2" w:space="0"/>
              <w:left w:val="single" w:color="auto" w:sz="2" w:space="0"/>
              <w:bottom w:val="single" w:color="auto" w:sz="2" w:space="0"/>
              <w:right w:val="single" w:color="auto" w:sz="2" w:space="0"/>
            </w:tcBorders>
            <w:vAlign w:val="center"/>
          </w:tcPr>
          <w:p w14:paraId="4041D38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1.16%</w:t>
            </w:r>
          </w:p>
        </w:tc>
        <w:tc>
          <w:tcPr>
            <w:tcW w:w="876" w:type="dxa"/>
            <w:tcBorders>
              <w:top w:val="single" w:color="auto" w:sz="2" w:space="0"/>
              <w:left w:val="single" w:color="auto" w:sz="2" w:space="0"/>
              <w:bottom w:val="single" w:color="auto" w:sz="2" w:space="0"/>
              <w:right w:val="single" w:color="auto" w:sz="2" w:space="0"/>
            </w:tcBorders>
            <w:vAlign w:val="center"/>
          </w:tcPr>
          <w:p w14:paraId="0536753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86,455,524.67</w:t>
            </w:r>
          </w:p>
        </w:tc>
      </w:tr>
      <w:tr w14:paraId="77D39B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1882B15">
            <w:pPr>
              <w:spacing w:before="40" w:after="40" w:line="240" w:lineRule="exact"/>
              <w:ind w:firstLine="180" w:firstLineChars="100"/>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D880E15">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4908074">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9DDDBB3">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72C5BD8">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692BD2E">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5C2AE5B">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C80153D">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3D1A04B">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B32AE8B">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386685C">
            <w:pPr>
              <w:rPr>
                <w:color w:val="auto"/>
              </w:rPr>
            </w:pPr>
          </w:p>
        </w:tc>
      </w:tr>
      <w:tr w14:paraId="1046CD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7ABEFAC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经销及外包推广模式应收款项组合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3CE8D37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2,553,022.02</w:t>
            </w:r>
          </w:p>
        </w:tc>
        <w:tc>
          <w:tcPr>
            <w:tcW w:w="876" w:type="dxa"/>
            <w:tcBorders>
              <w:top w:val="single" w:color="auto" w:sz="2" w:space="0"/>
              <w:left w:val="single" w:color="auto" w:sz="2" w:space="0"/>
              <w:bottom w:val="single" w:color="auto" w:sz="2" w:space="0"/>
              <w:right w:val="single" w:color="auto" w:sz="2" w:space="0"/>
            </w:tcBorders>
            <w:vAlign w:val="center"/>
          </w:tcPr>
          <w:p w14:paraId="5BF3AA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2.58%</w:t>
            </w:r>
          </w:p>
        </w:tc>
        <w:tc>
          <w:tcPr>
            <w:tcW w:w="876" w:type="dxa"/>
            <w:tcBorders>
              <w:top w:val="single" w:color="auto" w:sz="2" w:space="0"/>
              <w:left w:val="single" w:color="auto" w:sz="2" w:space="0"/>
              <w:bottom w:val="single" w:color="auto" w:sz="2" w:space="0"/>
              <w:right w:val="single" w:color="auto" w:sz="2" w:space="0"/>
            </w:tcBorders>
            <w:vAlign w:val="center"/>
          </w:tcPr>
          <w:p w14:paraId="7B83D09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484,641.85</w:t>
            </w:r>
          </w:p>
        </w:tc>
        <w:tc>
          <w:tcPr>
            <w:tcW w:w="876" w:type="dxa"/>
            <w:tcBorders>
              <w:top w:val="single" w:color="auto" w:sz="2" w:space="0"/>
              <w:left w:val="single" w:color="auto" w:sz="2" w:space="0"/>
              <w:bottom w:val="single" w:color="auto" w:sz="2" w:space="0"/>
              <w:right w:val="single" w:color="auto" w:sz="2" w:space="0"/>
            </w:tcBorders>
            <w:vAlign w:val="center"/>
          </w:tcPr>
          <w:p w14:paraId="067021F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18.98%</w:t>
            </w:r>
          </w:p>
        </w:tc>
        <w:tc>
          <w:tcPr>
            <w:tcW w:w="876" w:type="dxa"/>
            <w:tcBorders>
              <w:top w:val="single" w:color="auto" w:sz="2" w:space="0"/>
              <w:left w:val="single" w:color="auto" w:sz="2" w:space="0"/>
              <w:bottom w:val="single" w:color="auto" w:sz="2" w:space="0"/>
              <w:right w:val="single" w:color="auto" w:sz="2" w:space="0"/>
            </w:tcBorders>
            <w:vAlign w:val="center"/>
          </w:tcPr>
          <w:p w14:paraId="4549DD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2,068,380.17</w:t>
            </w:r>
          </w:p>
        </w:tc>
        <w:tc>
          <w:tcPr>
            <w:tcW w:w="876" w:type="dxa"/>
            <w:tcBorders>
              <w:top w:val="single" w:color="auto" w:sz="2" w:space="0"/>
              <w:left w:val="single" w:color="auto" w:sz="2" w:space="0"/>
              <w:bottom w:val="single" w:color="auto" w:sz="2" w:space="0"/>
              <w:right w:val="single" w:color="auto" w:sz="2" w:space="0"/>
            </w:tcBorders>
            <w:vAlign w:val="center"/>
          </w:tcPr>
          <w:p w14:paraId="2C8B1C6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2,635,699.83</w:t>
            </w:r>
          </w:p>
        </w:tc>
        <w:tc>
          <w:tcPr>
            <w:tcW w:w="876" w:type="dxa"/>
            <w:tcBorders>
              <w:top w:val="single" w:color="auto" w:sz="2" w:space="0"/>
              <w:left w:val="single" w:color="auto" w:sz="2" w:space="0"/>
              <w:bottom w:val="single" w:color="auto" w:sz="2" w:space="0"/>
              <w:right w:val="single" w:color="auto" w:sz="2" w:space="0"/>
            </w:tcBorders>
            <w:vAlign w:val="center"/>
          </w:tcPr>
          <w:p w14:paraId="7902190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2.99%</w:t>
            </w:r>
          </w:p>
        </w:tc>
        <w:tc>
          <w:tcPr>
            <w:tcW w:w="876" w:type="dxa"/>
            <w:tcBorders>
              <w:top w:val="single" w:color="auto" w:sz="2" w:space="0"/>
              <w:left w:val="single" w:color="auto" w:sz="2" w:space="0"/>
              <w:bottom w:val="single" w:color="auto" w:sz="2" w:space="0"/>
              <w:right w:val="single" w:color="auto" w:sz="2" w:space="0"/>
            </w:tcBorders>
            <w:vAlign w:val="center"/>
          </w:tcPr>
          <w:p w14:paraId="4DF396E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571,655.69</w:t>
            </w:r>
          </w:p>
        </w:tc>
        <w:tc>
          <w:tcPr>
            <w:tcW w:w="876" w:type="dxa"/>
            <w:tcBorders>
              <w:top w:val="single" w:color="auto" w:sz="2" w:space="0"/>
              <w:left w:val="single" w:color="auto" w:sz="2" w:space="0"/>
              <w:bottom w:val="single" w:color="auto" w:sz="2" w:space="0"/>
              <w:right w:val="single" w:color="auto" w:sz="2" w:space="0"/>
            </w:tcBorders>
            <w:vAlign w:val="center"/>
          </w:tcPr>
          <w:p w14:paraId="78271EA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21.69%</w:t>
            </w:r>
          </w:p>
        </w:tc>
        <w:tc>
          <w:tcPr>
            <w:tcW w:w="876" w:type="dxa"/>
            <w:tcBorders>
              <w:top w:val="single" w:color="auto" w:sz="2" w:space="0"/>
              <w:left w:val="single" w:color="auto" w:sz="2" w:space="0"/>
              <w:bottom w:val="single" w:color="auto" w:sz="2" w:space="0"/>
              <w:right w:val="single" w:color="auto" w:sz="2" w:space="0"/>
            </w:tcBorders>
            <w:vAlign w:val="center"/>
          </w:tcPr>
          <w:p w14:paraId="51EAEE7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2,064,044.14</w:t>
            </w:r>
          </w:p>
        </w:tc>
      </w:tr>
      <w:tr w14:paraId="1F389A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43EA3DB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自主推广模式应收款项组合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347C6C1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10,899,336.96</w:t>
            </w:r>
          </w:p>
        </w:tc>
        <w:tc>
          <w:tcPr>
            <w:tcW w:w="876" w:type="dxa"/>
            <w:tcBorders>
              <w:top w:val="single" w:color="auto" w:sz="2" w:space="0"/>
              <w:left w:val="single" w:color="auto" w:sz="2" w:space="0"/>
              <w:bottom w:val="single" w:color="auto" w:sz="2" w:space="0"/>
              <w:right w:val="single" w:color="auto" w:sz="2" w:space="0"/>
            </w:tcBorders>
            <w:vAlign w:val="center"/>
          </w:tcPr>
          <w:p w14:paraId="3D666C7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11.01%</w:t>
            </w:r>
          </w:p>
        </w:tc>
        <w:tc>
          <w:tcPr>
            <w:tcW w:w="876" w:type="dxa"/>
            <w:tcBorders>
              <w:top w:val="single" w:color="auto" w:sz="2" w:space="0"/>
              <w:left w:val="single" w:color="auto" w:sz="2" w:space="0"/>
              <w:bottom w:val="single" w:color="auto" w:sz="2" w:space="0"/>
              <w:right w:val="single" w:color="auto" w:sz="2" w:space="0"/>
            </w:tcBorders>
            <w:vAlign w:val="center"/>
          </w:tcPr>
          <w:p w14:paraId="6E446E7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559,993.70</w:t>
            </w:r>
          </w:p>
        </w:tc>
        <w:tc>
          <w:tcPr>
            <w:tcW w:w="876" w:type="dxa"/>
            <w:tcBorders>
              <w:top w:val="single" w:color="auto" w:sz="2" w:space="0"/>
              <w:left w:val="single" w:color="auto" w:sz="2" w:space="0"/>
              <w:bottom w:val="single" w:color="auto" w:sz="2" w:space="0"/>
              <w:right w:val="single" w:color="auto" w:sz="2" w:space="0"/>
            </w:tcBorders>
            <w:vAlign w:val="center"/>
          </w:tcPr>
          <w:p w14:paraId="0741D9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5.14%</w:t>
            </w:r>
          </w:p>
        </w:tc>
        <w:tc>
          <w:tcPr>
            <w:tcW w:w="876" w:type="dxa"/>
            <w:tcBorders>
              <w:top w:val="single" w:color="auto" w:sz="2" w:space="0"/>
              <w:left w:val="single" w:color="auto" w:sz="2" w:space="0"/>
              <w:bottom w:val="single" w:color="auto" w:sz="2" w:space="0"/>
              <w:right w:val="single" w:color="auto" w:sz="2" w:space="0"/>
            </w:tcBorders>
            <w:vAlign w:val="center"/>
          </w:tcPr>
          <w:p w14:paraId="7454B0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10,339,343.26</w:t>
            </w:r>
          </w:p>
        </w:tc>
        <w:tc>
          <w:tcPr>
            <w:tcW w:w="876" w:type="dxa"/>
            <w:tcBorders>
              <w:top w:val="single" w:color="auto" w:sz="2" w:space="0"/>
              <w:left w:val="single" w:color="auto" w:sz="2" w:space="0"/>
              <w:bottom w:val="single" w:color="auto" w:sz="2" w:space="0"/>
              <w:right w:val="single" w:color="auto" w:sz="2" w:space="0"/>
            </w:tcBorders>
            <w:vAlign w:val="center"/>
          </w:tcPr>
          <w:p w14:paraId="57631D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5,184,391.49</w:t>
            </w:r>
          </w:p>
        </w:tc>
        <w:tc>
          <w:tcPr>
            <w:tcW w:w="876" w:type="dxa"/>
            <w:tcBorders>
              <w:top w:val="single" w:color="auto" w:sz="2" w:space="0"/>
              <w:left w:val="single" w:color="auto" w:sz="2" w:space="0"/>
              <w:bottom w:val="single" w:color="auto" w:sz="2" w:space="0"/>
              <w:right w:val="single" w:color="auto" w:sz="2" w:space="0"/>
            </w:tcBorders>
            <w:vAlign w:val="center"/>
          </w:tcPr>
          <w:p w14:paraId="0CE3B1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5.88%</w:t>
            </w:r>
          </w:p>
        </w:tc>
        <w:tc>
          <w:tcPr>
            <w:tcW w:w="876" w:type="dxa"/>
            <w:tcBorders>
              <w:top w:val="single" w:color="auto" w:sz="2" w:space="0"/>
              <w:left w:val="single" w:color="auto" w:sz="2" w:space="0"/>
              <w:bottom w:val="single" w:color="auto" w:sz="2" w:space="0"/>
              <w:right w:val="single" w:color="auto" w:sz="2" w:space="0"/>
            </w:tcBorders>
            <w:vAlign w:val="center"/>
          </w:tcPr>
          <w:p w14:paraId="2A8D590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276,060.23</w:t>
            </w:r>
          </w:p>
        </w:tc>
        <w:tc>
          <w:tcPr>
            <w:tcW w:w="876" w:type="dxa"/>
            <w:tcBorders>
              <w:top w:val="single" w:color="auto" w:sz="2" w:space="0"/>
              <w:left w:val="single" w:color="auto" w:sz="2" w:space="0"/>
              <w:bottom w:val="single" w:color="auto" w:sz="2" w:space="0"/>
              <w:right w:val="single" w:color="auto" w:sz="2" w:space="0"/>
            </w:tcBorders>
            <w:vAlign w:val="center"/>
          </w:tcPr>
          <w:p w14:paraId="3B45020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5.32%</w:t>
            </w:r>
          </w:p>
        </w:tc>
        <w:tc>
          <w:tcPr>
            <w:tcW w:w="876" w:type="dxa"/>
            <w:tcBorders>
              <w:top w:val="single" w:color="auto" w:sz="2" w:space="0"/>
              <w:left w:val="single" w:color="auto" w:sz="2" w:space="0"/>
              <w:bottom w:val="single" w:color="auto" w:sz="2" w:space="0"/>
              <w:right w:val="single" w:color="auto" w:sz="2" w:space="0"/>
            </w:tcBorders>
            <w:vAlign w:val="center"/>
          </w:tcPr>
          <w:p w14:paraId="2FBAD39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4,908,331.26</w:t>
            </w:r>
          </w:p>
        </w:tc>
      </w:tr>
      <w:tr w14:paraId="1FFAA2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795DFE6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政府集采模式应收款项组合</w:t>
            </w:r>
          </w:p>
        </w:tc>
        <w:tc>
          <w:tcPr>
            <w:tcW w:w="876" w:type="dxa"/>
            <w:tcBorders>
              <w:top w:val="single" w:color="auto" w:sz="2" w:space="0"/>
              <w:left w:val="single" w:color="auto" w:sz="2" w:space="0"/>
              <w:bottom w:val="single" w:color="auto" w:sz="2" w:space="0"/>
              <w:right w:val="single" w:color="auto" w:sz="2" w:space="0"/>
            </w:tcBorders>
            <w:vAlign w:val="center"/>
          </w:tcPr>
          <w:p w14:paraId="29DE08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137,510.42</w:t>
            </w:r>
          </w:p>
        </w:tc>
        <w:tc>
          <w:tcPr>
            <w:tcW w:w="876" w:type="dxa"/>
            <w:tcBorders>
              <w:top w:val="single" w:color="auto" w:sz="2" w:space="0"/>
              <w:left w:val="single" w:color="auto" w:sz="2" w:space="0"/>
              <w:bottom w:val="single" w:color="auto" w:sz="2" w:space="0"/>
              <w:right w:val="single" w:color="auto" w:sz="2" w:space="0"/>
            </w:tcBorders>
            <w:vAlign w:val="center"/>
          </w:tcPr>
          <w:p w14:paraId="6FDFBF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0.14%</w:t>
            </w:r>
          </w:p>
        </w:tc>
        <w:tc>
          <w:tcPr>
            <w:tcW w:w="876" w:type="dxa"/>
            <w:tcBorders>
              <w:top w:val="single" w:color="auto" w:sz="2" w:space="0"/>
              <w:left w:val="single" w:color="auto" w:sz="2" w:space="0"/>
              <w:bottom w:val="single" w:color="auto" w:sz="2" w:space="0"/>
              <w:right w:val="single" w:color="auto" w:sz="2" w:space="0"/>
            </w:tcBorders>
            <w:vAlign w:val="center"/>
          </w:tcPr>
          <w:p w14:paraId="2051682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6,875.52</w:t>
            </w:r>
          </w:p>
        </w:tc>
        <w:tc>
          <w:tcPr>
            <w:tcW w:w="876" w:type="dxa"/>
            <w:tcBorders>
              <w:top w:val="single" w:color="auto" w:sz="2" w:space="0"/>
              <w:left w:val="single" w:color="auto" w:sz="2" w:space="0"/>
              <w:bottom w:val="single" w:color="auto" w:sz="2" w:space="0"/>
              <w:right w:val="single" w:color="auto" w:sz="2" w:space="0"/>
            </w:tcBorders>
            <w:vAlign w:val="center"/>
          </w:tcPr>
          <w:p w14:paraId="28F0476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730FFD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130,634.90</w:t>
            </w:r>
          </w:p>
        </w:tc>
        <w:tc>
          <w:tcPr>
            <w:tcW w:w="876" w:type="dxa"/>
            <w:tcBorders>
              <w:top w:val="single" w:color="auto" w:sz="2" w:space="0"/>
              <w:left w:val="single" w:color="auto" w:sz="2" w:space="0"/>
              <w:bottom w:val="single" w:color="auto" w:sz="2" w:space="0"/>
              <w:right w:val="single" w:color="auto" w:sz="2" w:space="0"/>
            </w:tcBorders>
            <w:vAlign w:val="center"/>
          </w:tcPr>
          <w:p w14:paraId="334C679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323,287.00</w:t>
            </w:r>
          </w:p>
        </w:tc>
        <w:tc>
          <w:tcPr>
            <w:tcW w:w="876" w:type="dxa"/>
            <w:tcBorders>
              <w:top w:val="single" w:color="auto" w:sz="2" w:space="0"/>
              <w:left w:val="single" w:color="auto" w:sz="2" w:space="0"/>
              <w:bottom w:val="single" w:color="auto" w:sz="2" w:space="0"/>
              <w:right w:val="single" w:color="auto" w:sz="2" w:space="0"/>
            </w:tcBorders>
            <w:vAlign w:val="center"/>
          </w:tcPr>
          <w:p w14:paraId="3E2C859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0.37%</w:t>
            </w:r>
          </w:p>
        </w:tc>
        <w:tc>
          <w:tcPr>
            <w:tcW w:w="876" w:type="dxa"/>
            <w:tcBorders>
              <w:top w:val="single" w:color="auto" w:sz="2" w:space="0"/>
              <w:left w:val="single" w:color="auto" w:sz="2" w:space="0"/>
              <w:bottom w:val="single" w:color="auto" w:sz="2" w:space="0"/>
              <w:right w:val="single" w:color="auto" w:sz="2" w:space="0"/>
            </w:tcBorders>
            <w:vAlign w:val="center"/>
          </w:tcPr>
          <w:p w14:paraId="33FA9B7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16,164.35</w:t>
            </w:r>
          </w:p>
        </w:tc>
        <w:tc>
          <w:tcPr>
            <w:tcW w:w="876" w:type="dxa"/>
            <w:tcBorders>
              <w:top w:val="single" w:color="auto" w:sz="2" w:space="0"/>
              <w:left w:val="single" w:color="auto" w:sz="2" w:space="0"/>
              <w:bottom w:val="single" w:color="auto" w:sz="2" w:space="0"/>
              <w:right w:val="single" w:color="auto" w:sz="2" w:space="0"/>
            </w:tcBorders>
            <w:vAlign w:val="center"/>
          </w:tcPr>
          <w:p w14:paraId="7ACCFB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4D381E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307,122.65</w:t>
            </w:r>
          </w:p>
        </w:tc>
      </w:tr>
      <w:tr w14:paraId="6B2B55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62300EB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关联方</w:t>
            </w:r>
          </w:p>
        </w:tc>
        <w:tc>
          <w:tcPr>
            <w:tcW w:w="876" w:type="dxa"/>
            <w:tcBorders>
              <w:top w:val="single" w:color="auto" w:sz="2" w:space="0"/>
              <w:left w:val="single" w:color="auto" w:sz="2" w:space="0"/>
              <w:bottom w:val="single" w:color="auto" w:sz="2" w:space="0"/>
              <w:right w:val="single" w:color="auto" w:sz="2" w:space="0"/>
            </w:tcBorders>
            <w:vAlign w:val="center"/>
          </w:tcPr>
          <w:p w14:paraId="5663120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81,744,449.86</w:t>
            </w:r>
          </w:p>
        </w:tc>
        <w:tc>
          <w:tcPr>
            <w:tcW w:w="876" w:type="dxa"/>
            <w:tcBorders>
              <w:top w:val="single" w:color="auto" w:sz="2" w:space="0"/>
              <w:left w:val="single" w:color="auto" w:sz="2" w:space="0"/>
              <w:bottom w:val="single" w:color="auto" w:sz="2" w:space="0"/>
              <w:right w:val="single" w:color="auto" w:sz="2" w:space="0"/>
            </w:tcBorders>
            <w:vAlign w:val="center"/>
          </w:tcPr>
          <w:p w14:paraId="5B7C5AF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82.60%</w:t>
            </w:r>
          </w:p>
        </w:tc>
        <w:tc>
          <w:tcPr>
            <w:tcW w:w="876" w:type="dxa"/>
            <w:tcBorders>
              <w:top w:val="single" w:color="auto" w:sz="2" w:space="0"/>
              <w:left w:val="single" w:color="auto" w:sz="2" w:space="0"/>
              <w:bottom w:val="single" w:color="auto" w:sz="2" w:space="0"/>
              <w:right w:val="single" w:color="auto" w:sz="2" w:space="0"/>
            </w:tcBorders>
            <w:vAlign w:val="center"/>
          </w:tcPr>
          <w:p w14:paraId="64CF94A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39970BC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12D97A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81,744,449.86</w:t>
            </w:r>
          </w:p>
        </w:tc>
        <w:tc>
          <w:tcPr>
            <w:tcW w:w="876" w:type="dxa"/>
            <w:tcBorders>
              <w:top w:val="single" w:color="auto" w:sz="2" w:space="0"/>
              <w:left w:val="single" w:color="auto" w:sz="2" w:space="0"/>
              <w:bottom w:val="single" w:color="auto" w:sz="2" w:space="0"/>
              <w:right w:val="single" w:color="auto" w:sz="2" w:space="0"/>
            </w:tcBorders>
            <w:vAlign w:val="center"/>
          </w:tcPr>
          <w:p w14:paraId="10A9DFF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76,264,472.25</w:t>
            </w:r>
          </w:p>
        </w:tc>
        <w:tc>
          <w:tcPr>
            <w:tcW w:w="876" w:type="dxa"/>
            <w:tcBorders>
              <w:top w:val="single" w:color="auto" w:sz="2" w:space="0"/>
              <w:left w:val="single" w:color="auto" w:sz="2" w:space="0"/>
              <w:bottom w:val="single" w:color="auto" w:sz="2" w:space="0"/>
              <w:right w:val="single" w:color="auto" w:sz="2" w:space="0"/>
            </w:tcBorders>
            <w:vAlign w:val="center"/>
          </w:tcPr>
          <w:p w14:paraId="6CB1B16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86.56%</w:t>
            </w:r>
          </w:p>
        </w:tc>
        <w:tc>
          <w:tcPr>
            <w:tcW w:w="876" w:type="dxa"/>
            <w:tcBorders>
              <w:top w:val="single" w:color="auto" w:sz="2" w:space="0"/>
              <w:left w:val="single" w:color="auto" w:sz="2" w:space="0"/>
              <w:bottom w:val="single" w:color="auto" w:sz="2" w:space="0"/>
              <w:right w:val="single" w:color="auto" w:sz="2" w:space="0"/>
            </w:tcBorders>
            <w:vAlign w:val="center"/>
          </w:tcPr>
          <w:p w14:paraId="39024F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4FC12F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256A925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76,264,472.25</w:t>
            </w:r>
          </w:p>
        </w:tc>
      </w:tr>
      <w:tr w14:paraId="44543A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1A2C54A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876" w:type="dxa"/>
            <w:tcBorders>
              <w:top w:val="single" w:color="auto" w:sz="2" w:space="0"/>
              <w:left w:val="single" w:color="auto" w:sz="2" w:space="0"/>
              <w:bottom w:val="single" w:color="auto" w:sz="2" w:space="0"/>
              <w:right w:val="single" w:color="auto" w:sz="2" w:space="0"/>
            </w:tcBorders>
            <w:vAlign w:val="center"/>
          </w:tcPr>
          <w:p w14:paraId="672975C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2,995,666.03</w:t>
            </w:r>
          </w:p>
        </w:tc>
        <w:tc>
          <w:tcPr>
            <w:tcW w:w="876" w:type="dxa"/>
            <w:tcBorders>
              <w:top w:val="single" w:color="auto" w:sz="2" w:space="0"/>
              <w:left w:val="single" w:color="auto" w:sz="2" w:space="0"/>
              <w:bottom w:val="single" w:color="auto" w:sz="2" w:space="0"/>
              <w:right w:val="single" w:color="auto" w:sz="2" w:space="0"/>
            </w:tcBorders>
            <w:vAlign w:val="center"/>
          </w:tcPr>
          <w:p w14:paraId="5DD7CDC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3.03%</w:t>
            </w:r>
          </w:p>
        </w:tc>
        <w:tc>
          <w:tcPr>
            <w:tcW w:w="876" w:type="dxa"/>
            <w:tcBorders>
              <w:top w:val="single" w:color="auto" w:sz="2" w:space="0"/>
              <w:left w:val="single" w:color="auto" w:sz="2" w:space="0"/>
              <w:bottom w:val="single" w:color="auto" w:sz="2" w:space="0"/>
              <w:right w:val="single" w:color="auto" w:sz="2" w:space="0"/>
            </w:tcBorders>
            <w:vAlign w:val="center"/>
          </w:tcPr>
          <w:p w14:paraId="5537B6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149,783.30</w:t>
            </w:r>
          </w:p>
        </w:tc>
        <w:tc>
          <w:tcPr>
            <w:tcW w:w="876" w:type="dxa"/>
            <w:tcBorders>
              <w:top w:val="single" w:color="auto" w:sz="2" w:space="0"/>
              <w:left w:val="single" w:color="auto" w:sz="2" w:space="0"/>
              <w:bottom w:val="single" w:color="auto" w:sz="2" w:space="0"/>
              <w:right w:val="single" w:color="auto" w:sz="2" w:space="0"/>
            </w:tcBorders>
            <w:vAlign w:val="center"/>
          </w:tcPr>
          <w:p w14:paraId="1413DFB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0123D2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2,845,882.73</w:t>
            </w:r>
          </w:p>
        </w:tc>
        <w:tc>
          <w:tcPr>
            <w:tcW w:w="876" w:type="dxa"/>
            <w:tcBorders>
              <w:top w:val="single" w:color="auto" w:sz="2" w:space="0"/>
              <w:left w:val="single" w:color="auto" w:sz="2" w:space="0"/>
              <w:bottom w:val="single" w:color="auto" w:sz="2" w:space="0"/>
              <w:right w:val="single" w:color="auto" w:sz="2" w:space="0"/>
            </w:tcBorders>
            <w:vAlign w:val="center"/>
          </w:tcPr>
          <w:p w14:paraId="3F0306F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3,064,794.07</w:t>
            </w:r>
          </w:p>
        </w:tc>
        <w:tc>
          <w:tcPr>
            <w:tcW w:w="876" w:type="dxa"/>
            <w:tcBorders>
              <w:top w:val="single" w:color="auto" w:sz="2" w:space="0"/>
              <w:left w:val="single" w:color="auto" w:sz="2" w:space="0"/>
              <w:bottom w:val="single" w:color="auto" w:sz="2" w:space="0"/>
              <w:right w:val="single" w:color="auto" w:sz="2" w:space="0"/>
            </w:tcBorders>
            <w:vAlign w:val="center"/>
          </w:tcPr>
          <w:p w14:paraId="5DFDEF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3.48%</w:t>
            </w:r>
          </w:p>
        </w:tc>
        <w:tc>
          <w:tcPr>
            <w:tcW w:w="876" w:type="dxa"/>
            <w:tcBorders>
              <w:top w:val="single" w:color="auto" w:sz="2" w:space="0"/>
              <w:left w:val="single" w:color="auto" w:sz="2" w:space="0"/>
              <w:bottom w:val="single" w:color="auto" w:sz="2" w:space="0"/>
              <w:right w:val="single" w:color="auto" w:sz="2" w:space="0"/>
            </w:tcBorders>
            <w:vAlign w:val="center"/>
          </w:tcPr>
          <w:p w14:paraId="0163A5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153,239.70</w:t>
            </w:r>
          </w:p>
        </w:tc>
        <w:tc>
          <w:tcPr>
            <w:tcW w:w="876" w:type="dxa"/>
            <w:tcBorders>
              <w:top w:val="single" w:color="auto" w:sz="2" w:space="0"/>
              <w:left w:val="single" w:color="auto" w:sz="2" w:space="0"/>
              <w:bottom w:val="single" w:color="auto" w:sz="2" w:space="0"/>
              <w:right w:val="single" w:color="auto" w:sz="2" w:space="0"/>
            </w:tcBorders>
            <w:vAlign w:val="center"/>
          </w:tcPr>
          <w:p w14:paraId="606C91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5BBBB65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2,911,554.37</w:t>
            </w:r>
          </w:p>
        </w:tc>
      </w:tr>
      <w:tr w14:paraId="13A405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39296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20EF11D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98,964,914.36</w:t>
            </w:r>
          </w:p>
        </w:tc>
        <w:tc>
          <w:tcPr>
            <w:tcW w:w="876" w:type="dxa"/>
            <w:tcBorders>
              <w:top w:val="single" w:color="auto" w:sz="2" w:space="0"/>
              <w:left w:val="single" w:color="auto" w:sz="2" w:space="0"/>
              <w:bottom w:val="single" w:color="auto" w:sz="2" w:space="0"/>
              <w:right w:val="single" w:color="auto" w:sz="2" w:space="0"/>
            </w:tcBorders>
            <w:vAlign w:val="center"/>
          </w:tcPr>
          <w:p w14:paraId="4C28011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39781F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1,836,223.44</w:t>
            </w:r>
          </w:p>
        </w:tc>
        <w:tc>
          <w:tcPr>
            <w:tcW w:w="876" w:type="dxa"/>
            <w:tcBorders>
              <w:top w:val="single" w:color="auto" w:sz="2" w:space="0"/>
              <w:left w:val="single" w:color="auto" w:sz="2" w:space="0"/>
              <w:bottom w:val="single" w:color="auto" w:sz="2" w:space="0"/>
              <w:right w:val="single" w:color="auto" w:sz="2" w:space="0"/>
            </w:tcBorders>
            <w:vAlign w:val="center"/>
          </w:tcPr>
          <w:p w14:paraId="595ACB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1.86%</w:t>
            </w:r>
          </w:p>
        </w:tc>
        <w:tc>
          <w:tcPr>
            <w:tcW w:w="876" w:type="dxa"/>
            <w:tcBorders>
              <w:top w:val="single" w:color="auto" w:sz="2" w:space="0"/>
              <w:left w:val="single" w:color="auto" w:sz="2" w:space="0"/>
              <w:bottom w:val="single" w:color="auto" w:sz="2" w:space="0"/>
              <w:right w:val="single" w:color="auto" w:sz="2" w:space="0"/>
            </w:tcBorders>
            <w:vAlign w:val="center"/>
          </w:tcPr>
          <w:p w14:paraId="574B350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97,128,690.92</w:t>
            </w:r>
          </w:p>
        </w:tc>
        <w:tc>
          <w:tcPr>
            <w:tcW w:w="876" w:type="dxa"/>
            <w:tcBorders>
              <w:top w:val="single" w:color="auto" w:sz="2" w:space="0"/>
              <w:left w:val="single" w:color="auto" w:sz="2" w:space="0"/>
              <w:bottom w:val="single" w:color="auto" w:sz="2" w:space="0"/>
              <w:right w:val="single" w:color="auto" w:sz="2" w:space="0"/>
            </w:tcBorders>
            <w:vAlign w:val="center"/>
          </w:tcPr>
          <w:p w14:paraId="6BFAD26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88,107,573.71</w:t>
            </w:r>
          </w:p>
        </w:tc>
        <w:tc>
          <w:tcPr>
            <w:tcW w:w="876" w:type="dxa"/>
            <w:tcBorders>
              <w:top w:val="single" w:color="auto" w:sz="2" w:space="0"/>
              <w:left w:val="single" w:color="auto" w:sz="2" w:space="0"/>
              <w:bottom w:val="single" w:color="auto" w:sz="2" w:space="0"/>
              <w:right w:val="single" w:color="auto" w:sz="2" w:space="0"/>
            </w:tcBorders>
            <w:vAlign w:val="center"/>
          </w:tcPr>
          <w:p w14:paraId="0851B2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78056B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1,652,049.04</w:t>
            </w:r>
          </w:p>
        </w:tc>
        <w:tc>
          <w:tcPr>
            <w:tcW w:w="876" w:type="dxa"/>
            <w:tcBorders>
              <w:top w:val="single" w:color="auto" w:sz="2" w:space="0"/>
              <w:left w:val="single" w:color="auto" w:sz="2" w:space="0"/>
              <w:bottom w:val="single" w:color="auto" w:sz="2" w:space="0"/>
              <w:right w:val="single" w:color="auto" w:sz="2" w:space="0"/>
            </w:tcBorders>
            <w:vAlign w:val="center"/>
          </w:tcPr>
          <w:p w14:paraId="775CB8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1.88%</w:t>
            </w:r>
          </w:p>
        </w:tc>
        <w:tc>
          <w:tcPr>
            <w:tcW w:w="876" w:type="dxa"/>
            <w:tcBorders>
              <w:top w:val="single" w:color="auto" w:sz="2" w:space="0"/>
              <w:left w:val="single" w:color="auto" w:sz="2" w:space="0"/>
              <w:bottom w:val="single" w:color="auto" w:sz="2" w:space="0"/>
              <w:right w:val="single" w:color="auto" w:sz="2" w:space="0"/>
            </w:tcBorders>
            <w:vAlign w:val="center"/>
          </w:tcPr>
          <w:p w14:paraId="1105A40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86,455,524.67</w:t>
            </w:r>
          </w:p>
        </w:tc>
      </w:tr>
    </w:tbl>
    <w:p w14:paraId="5676C80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按单项计提坏账准备类别名称：</w:t>
      </w:r>
    </w:p>
    <w:p w14:paraId="7AF013F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24893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BAE042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06425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4EF2A7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4A0291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CA581E2">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826266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77D2C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2E7ABB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2A28F6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0C52CE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DAE79C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计提理由</w:t>
            </w:r>
          </w:p>
        </w:tc>
      </w:tr>
      <w:tr w14:paraId="446ACB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CCEDC1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广东康爱多数字健康科技有限公司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5E1E59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49472B6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21C29F4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0F42C5B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380,000.00</w:t>
            </w:r>
          </w:p>
        </w:tc>
        <w:tc>
          <w:tcPr>
            <w:tcW w:w="1377" w:type="dxa"/>
            <w:tcBorders>
              <w:top w:val="single" w:color="auto" w:sz="2" w:space="0"/>
              <w:left w:val="single" w:color="auto" w:sz="2" w:space="0"/>
              <w:bottom w:val="single" w:color="auto" w:sz="2" w:space="0"/>
              <w:right w:val="single" w:color="auto" w:sz="2" w:space="0"/>
            </w:tcBorders>
            <w:vAlign w:val="center"/>
          </w:tcPr>
          <w:p w14:paraId="5F2609D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3D60481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预计无法收回</w:t>
            </w:r>
          </w:p>
        </w:tc>
      </w:tr>
      <w:tr w14:paraId="555FE1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864C03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单笔金额小于10万元的客户</w:t>
            </w:r>
          </w:p>
        </w:tc>
        <w:tc>
          <w:tcPr>
            <w:tcW w:w="1377" w:type="dxa"/>
            <w:tcBorders>
              <w:top w:val="single" w:color="auto" w:sz="2" w:space="0"/>
              <w:left w:val="single" w:color="auto" w:sz="2" w:space="0"/>
              <w:bottom w:val="single" w:color="auto" w:sz="2" w:space="0"/>
              <w:right w:val="single" w:color="auto" w:sz="2" w:space="0"/>
            </w:tcBorders>
            <w:vAlign w:val="center"/>
          </w:tcPr>
          <w:p w14:paraId="32A8B47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162313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7D16FA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12B0CD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254,929.07</w:t>
            </w:r>
          </w:p>
        </w:tc>
        <w:tc>
          <w:tcPr>
            <w:tcW w:w="1377" w:type="dxa"/>
            <w:tcBorders>
              <w:top w:val="single" w:color="auto" w:sz="2" w:space="0"/>
              <w:left w:val="single" w:color="auto" w:sz="2" w:space="0"/>
              <w:bottom w:val="single" w:color="auto" w:sz="2" w:space="0"/>
              <w:right w:val="single" w:color="auto" w:sz="2" w:space="0"/>
            </w:tcBorders>
            <w:vAlign w:val="center"/>
          </w:tcPr>
          <w:p w14:paraId="265854D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1377" w:type="dxa"/>
            <w:tcBorders>
              <w:top w:val="single" w:color="auto" w:sz="2" w:space="0"/>
              <w:left w:val="single" w:color="auto" w:sz="2" w:space="0"/>
              <w:bottom w:val="single" w:color="auto" w:sz="2" w:space="0"/>
              <w:right w:val="single" w:color="auto" w:sz="2" w:space="0"/>
            </w:tcBorders>
            <w:vAlign w:val="center"/>
          </w:tcPr>
          <w:p w14:paraId="7D4696D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预计无法收回</w:t>
            </w:r>
          </w:p>
        </w:tc>
      </w:tr>
      <w:tr w14:paraId="7DA344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3EB76E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6B29923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1377" w:type="dxa"/>
            <w:tcBorders>
              <w:top w:val="single" w:color="auto" w:sz="2" w:space="0"/>
              <w:left w:val="single" w:color="auto" w:sz="2" w:space="0"/>
              <w:bottom w:val="single" w:color="auto" w:sz="2" w:space="0"/>
              <w:right w:val="single" w:color="auto" w:sz="2" w:space="0"/>
            </w:tcBorders>
            <w:vAlign w:val="center"/>
          </w:tcPr>
          <w:p w14:paraId="2551BA1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1377" w:type="dxa"/>
            <w:tcBorders>
              <w:top w:val="single" w:color="auto" w:sz="2" w:space="0"/>
              <w:left w:val="single" w:color="auto" w:sz="2" w:space="0"/>
              <w:bottom w:val="single" w:color="auto" w:sz="2" w:space="0"/>
              <w:right w:val="single" w:color="auto" w:sz="2" w:space="0"/>
            </w:tcBorders>
            <w:vAlign w:val="center"/>
          </w:tcPr>
          <w:p w14:paraId="3262CE4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1377" w:type="dxa"/>
            <w:tcBorders>
              <w:top w:val="single" w:color="auto" w:sz="2" w:space="0"/>
              <w:left w:val="single" w:color="auto" w:sz="2" w:space="0"/>
              <w:bottom w:val="single" w:color="auto" w:sz="2" w:space="0"/>
              <w:right w:val="single" w:color="auto" w:sz="2" w:space="0"/>
            </w:tcBorders>
            <w:vAlign w:val="center"/>
          </w:tcPr>
          <w:p w14:paraId="10237D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7BCAFDB">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81D7261">
            <w:pPr>
              <w:rPr>
                <w:color w:val="auto"/>
              </w:rPr>
            </w:pPr>
          </w:p>
        </w:tc>
      </w:tr>
    </w:tbl>
    <w:p w14:paraId="7C15EDE4">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按组合计提坏账准备类别名称：（1）经销及外包推广模式应收款项组合</w:t>
      </w:r>
    </w:p>
    <w:p w14:paraId="615A140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784D2A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BF1DD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5F7533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59078D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1C92BD">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E2B467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85D99D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A0887C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2DCDCC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4A018F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3FAC833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2,064,930.67</w:t>
            </w:r>
          </w:p>
        </w:tc>
        <w:tc>
          <w:tcPr>
            <w:tcW w:w="2410" w:type="dxa"/>
            <w:tcBorders>
              <w:top w:val="single" w:color="auto" w:sz="2" w:space="0"/>
              <w:left w:val="single" w:color="auto" w:sz="2" w:space="0"/>
              <w:bottom w:val="single" w:color="auto" w:sz="2" w:space="0"/>
              <w:right w:val="single" w:color="auto" w:sz="2" w:space="0"/>
            </w:tcBorders>
            <w:vAlign w:val="center"/>
          </w:tcPr>
          <w:p w14:paraId="4AF1DF1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103,246.53</w:t>
            </w:r>
          </w:p>
        </w:tc>
        <w:tc>
          <w:tcPr>
            <w:tcW w:w="2410" w:type="dxa"/>
            <w:tcBorders>
              <w:top w:val="single" w:color="auto" w:sz="2" w:space="0"/>
              <w:left w:val="single" w:color="auto" w:sz="2" w:space="0"/>
              <w:bottom w:val="single" w:color="auto" w:sz="2" w:space="0"/>
              <w:right w:val="single" w:color="auto" w:sz="2" w:space="0"/>
            </w:tcBorders>
            <w:vAlign w:val="center"/>
          </w:tcPr>
          <w:p w14:paraId="1B54EF4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r>
      <w:tr w14:paraId="13FDDC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E60313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2450E0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22,812.00</w:t>
            </w:r>
          </w:p>
        </w:tc>
        <w:tc>
          <w:tcPr>
            <w:tcW w:w="2410" w:type="dxa"/>
            <w:tcBorders>
              <w:top w:val="single" w:color="auto" w:sz="2" w:space="0"/>
              <w:left w:val="single" w:color="auto" w:sz="2" w:space="0"/>
              <w:bottom w:val="single" w:color="auto" w:sz="2" w:space="0"/>
              <w:right w:val="single" w:color="auto" w:sz="2" w:space="0"/>
            </w:tcBorders>
            <w:vAlign w:val="center"/>
          </w:tcPr>
          <w:p w14:paraId="50BC6F4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3,421.80</w:t>
            </w:r>
          </w:p>
        </w:tc>
        <w:tc>
          <w:tcPr>
            <w:tcW w:w="2410" w:type="dxa"/>
            <w:tcBorders>
              <w:top w:val="single" w:color="auto" w:sz="2" w:space="0"/>
              <w:left w:val="single" w:color="auto" w:sz="2" w:space="0"/>
              <w:bottom w:val="single" w:color="auto" w:sz="2" w:space="0"/>
              <w:right w:val="single" w:color="auto" w:sz="2" w:space="0"/>
            </w:tcBorders>
            <w:vAlign w:val="center"/>
          </w:tcPr>
          <w:p w14:paraId="2A5CB7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w:t>
            </w:r>
          </w:p>
        </w:tc>
      </w:tr>
      <w:tr w14:paraId="16B2DF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817E86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17C9752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95,791.00</w:t>
            </w:r>
          </w:p>
        </w:tc>
        <w:tc>
          <w:tcPr>
            <w:tcW w:w="2410" w:type="dxa"/>
            <w:tcBorders>
              <w:top w:val="single" w:color="auto" w:sz="2" w:space="0"/>
              <w:left w:val="single" w:color="auto" w:sz="2" w:space="0"/>
              <w:bottom w:val="single" w:color="auto" w:sz="2" w:space="0"/>
              <w:right w:val="single" w:color="auto" w:sz="2" w:space="0"/>
            </w:tcBorders>
            <w:vAlign w:val="center"/>
          </w:tcPr>
          <w:p w14:paraId="1267335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28,737.30</w:t>
            </w:r>
          </w:p>
        </w:tc>
        <w:tc>
          <w:tcPr>
            <w:tcW w:w="2410" w:type="dxa"/>
            <w:tcBorders>
              <w:top w:val="single" w:color="auto" w:sz="2" w:space="0"/>
              <w:left w:val="single" w:color="auto" w:sz="2" w:space="0"/>
              <w:bottom w:val="single" w:color="auto" w:sz="2" w:space="0"/>
              <w:right w:val="single" w:color="auto" w:sz="2" w:space="0"/>
            </w:tcBorders>
            <w:vAlign w:val="center"/>
          </w:tcPr>
          <w:p w14:paraId="09DFC44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w:t>
            </w:r>
          </w:p>
        </w:tc>
      </w:tr>
      <w:tr w14:paraId="79E33A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1CF623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1F593C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50,630.33</w:t>
            </w:r>
          </w:p>
        </w:tc>
        <w:tc>
          <w:tcPr>
            <w:tcW w:w="2410" w:type="dxa"/>
            <w:tcBorders>
              <w:top w:val="single" w:color="auto" w:sz="2" w:space="0"/>
              <w:left w:val="single" w:color="auto" w:sz="2" w:space="0"/>
              <w:bottom w:val="single" w:color="auto" w:sz="2" w:space="0"/>
              <w:right w:val="single" w:color="auto" w:sz="2" w:space="0"/>
            </w:tcBorders>
            <w:vAlign w:val="center"/>
          </w:tcPr>
          <w:p w14:paraId="6F11720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30,378.20</w:t>
            </w:r>
          </w:p>
        </w:tc>
        <w:tc>
          <w:tcPr>
            <w:tcW w:w="2410" w:type="dxa"/>
            <w:tcBorders>
              <w:top w:val="single" w:color="auto" w:sz="2" w:space="0"/>
              <w:left w:val="single" w:color="auto" w:sz="2" w:space="0"/>
              <w:bottom w:val="single" w:color="auto" w:sz="2" w:space="0"/>
              <w:right w:val="single" w:color="auto" w:sz="2" w:space="0"/>
            </w:tcBorders>
            <w:vAlign w:val="center"/>
          </w:tcPr>
          <w:p w14:paraId="68194A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60.00%</w:t>
            </w:r>
          </w:p>
        </w:tc>
      </w:tr>
      <w:tr w14:paraId="454B23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1699A0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37F00DE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2DFA6B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11C858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90.00%</w:t>
            </w:r>
          </w:p>
        </w:tc>
      </w:tr>
      <w:tr w14:paraId="33CE15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61C7CE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617EEE1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318,858.02</w:t>
            </w:r>
          </w:p>
        </w:tc>
        <w:tc>
          <w:tcPr>
            <w:tcW w:w="2410" w:type="dxa"/>
            <w:tcBorders>
              <w:top w:val="single" w:color="auto" w:sz="2" w:space="0"/>
              <w:left w:val="single" w:color="auto" w:sz="2" w:space="0"/>
              <w:bottom w:val="single" w:color="auto" w:sz="2" w:space="0"/>
              <w:right w:val="single" w:color="auto" w:sz="2" w:space="0"/>
            </w:tcBorders>
            <w:vAlign w:val="center"/>
          </w:tcPr>
          <w:p w14:paraId="078A79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318,858.02</w:t>
            </w:r>
          </w:p>
        </w:tc>
        <w:tc>
          <w:tcPr>
            <w:tcW w:w="2410" w:type="dxa"/>
            <w:tcBorders>
              <w:top w:val="single" w:color="auto" w:sz="2" w:space="0"/>
              <w:left w:val="single" w:color="auto" w:sz="2" w:space="0"/>
              <w:bottom w:val="single" w:color="auto" w:sz="2" w:space="0"/>
              <w:right w:val="single" w:color="auto" w:sz="2" w:space="0"/>
            </w:tcBorders>
            <w:vAlign w:val="center"/>
          </w:tcPr>
          <w:p w14:paraId="40F6721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r>
      <w:tr w14:paraId="1E4738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FC03F7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41F1AD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2,553,022.02</w:t>
            </w:r>
          </w:p>
        </w:tc>
        <w:tc>
          <w:tcPr>
            <w:tcW w:w="2410" w:type="dxa"/>
            <w:tcBorders>
              <w:top w:val="single" w:color="auto" w:sz="2" w:space="0"/>
              <w:left w:val="single" w:color="auto" w:sz="2" w:space="0"/>
              <w:bottom w:val="single" w:color="auto" w:sz="2" w:space="0"/>
              <w:right w:val="single" w:color="auto" w:sz="2" w:space="0"/>
            </w:tcBorders>
            <w:vAlign w:val="center"/>
          </w:tcPr>
          <w:p w14:paraId="31A22A0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484,641.85</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842F96E">
            <w:pPr>
              <w:rPr>
                <w:color w:val="auto"/>
              </w:rPr>
            </w:pPr>
          </w:p>
        </w:tc>
      </w:tr>
    </w:tbl>
    <w:p w14:paraId="0D60EA8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51958F8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按组合计提坏账准备类别名称：（2）自主推广模式应收款项组合</w:t>
      </w:r>
    </w:p>
    <w:p w14:paraId="23B22E4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402ED3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598F7E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900EBE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2F7503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C4F14FC">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65AC37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25D0AD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56678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38B5F0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3B89D4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5C47C19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10,837,309.05</w:t>
            </w:r>
          </w:p>
        </w:tc>
        <w:tc>
          <w:tcPr>
            <w:tcW w:w="2410" w:type="dxa"/>
            <w:tcBorders>
              <w:top w:val="single" w:color="auto" w:sz="2" w:space="0"/>
              <w:left w:val="single" w:color="auto" w:sz="2" w:space="0"/>
              <w:bottom w:val="single" w:color="auto" w:sz="2" w:space="0"/>
              <w:right w:val="single" w:color="auto" w:sz="2" w:space="0"/>
            </w:tcBorders>
            <w:vAlign w:val="center"/>
          </w:tcPr>
          <w:p w14:paraId="33BD2D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541,865.45</w:t>
            </w:r>
          </w:p>
        </w:tc>
        <w:tc>
          <w:tcPr>
            <w:tcW w:w="2410" w:type="dxa"/>
            <w:tcBorders>
              <w:top w:val="single" w:color="auto" w:sz="2" w:space="0"/>
              <w:left w:val="single" w:color="auto" w:sz="2" w:space="0"/>
              <w:bottom w:val="single" w:color="auto" w:sz="2" w:space="0"/>
              <w:right w:val="single" w:color="auto" w:sz="2" w:space="0"/>
            </w:tcBorders>
            <w:vAlign w:val="center"/>
          </w:tcPr>
          <w:p w14:paraId="7A11B6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r>
      <w:tr w14:paraId="4012A4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DD9E14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4B4C2BE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260.00</w:t>
            </w:r>
          </w:p>
        </w:tc>
        <w:tc>
          <w:tcPr>
            <w:tcW w:w="2410" w:type="dxa"/>
            <w:tcBorders>
              <w:top w:val="single" w:color="auto" w:sz="2" w:space="0"/>
              <w:left w:val="single" w:color="auto" w:sz="2" w:space="0"/>
              <w:bottom w:val="single" w:color="auto" w:sz="2" w:space="0"/>
              <w:right w:val="single" w:color="auto" w:sz="2" w:space="0"/>
            </w:tcBorders>
            <w:vAlign w:val="center"/>
          </w:tcPr>
          <w:p w14:paraId="1961B07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20.80</w:t>
            </w:r>
          </w:p>
        </w:tc>
        <w:tc>
          <w:tcPr>
            <w:tcW w:w="2410" w:type="dxa"/>
            <w:tcBorders>
              <w:top w:val="single" w:color="auto" w:sz="2" w:space="0"/>
              <w:left w:val="single" w:color="auto" w:sz="2" w:space="0"/>
              <w:bottom w:val="single" w:color="auto" w:sz="2" w:space="0"/>
              <w:right w:val="single" w:color="auto" w:sz="2" w:space="0"/>
            </w:tcBorders>
            <w:vAlign w:val="center"/>
          </w:tcPr>
          <w:p w14:paraId="09DE47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w:t>
            </w:r>
          </w:p>
        </w:tc>
      </w:tr>
      <w:tr w14:paraId="5ED4FA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44B1DC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312D14A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42,118.44</w:t>
            </w:r>
          </w:p>
        </w:tc>
        <w:tc>
          <w:tcPr>
            <w:tcW w:w="2410" w:type="dxa"/>
            <w:tcBorders>
              <w:top w:val="single" w:color="auto" w:sz="2" w:space="0"/>
              <w:left w:val="single" w:color="auto" w:sz="2" w:space="0"/>
              <w:bottom w:val="single" w:color="auto" w:sz="2" w:space="0"/>
              <w:right w:val="single" w:color="auto" w:sz="2" w:space="0"/>
            </w:tcBorders>
            <w:vAlign w:val="center"/>
          </w:tcPr>
          <w:p w14:paraId="7B0E8C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6,317.77</w:t>
            </w:r>
          </w:p>
        </w:tc>
        <w:tc>
          <w:tcPr>
            <w:tcW w:w="2410" w:type="dxa"/>
            <w:tcBorders>
              <w:top w:val="single" w:color="auto" w:sz="2" w:space="0"/>
              <w:left w:val="single" w:color="auto" w:sz="2" w:space="0"/>
              <w:bottom w:val="single" w:color="auto" w:sz="2" w:space="0"/>
              <w:right w:val="single" w:color="auto" w:sz="2" w:space="0"/>
            </w:tcBorders>
            <w:vAlign w:val="center"/>
          </w:tcPr>
          <w:p w14:paraId="1871159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w:t>
            </w:r>
          </w:p>
        </w:tc>
      </w:tr>
      <w:tr w14:paraId="335A6A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B7AF35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7573D4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7A56A9D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0D2538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w:t>
            </w:r>
          </w:p>
        </w:tc>
      </w:tr>
      <w:tr w14:paraId="2A4A83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2230FB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08017D7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19,649.47</w:t>
            </w:r>
          </w:p>
        </w:tc>
        <w:tc>
          <w:tcPr>
            <w:tcW w:w="2410" w:type="dxa"/>
            <w:tcBorders>
              <w:top w:val="single" w:color="auto" w:sz="2" w:space="0"/>
              <w:left w:val="single" w:color="auto" w:sz="2" w:space="0"/>
              <w:bottom w:val="single" w:color="auto" w:sz="2" w:space="0"/>
              <w:right w:val="single" w:color="auto" w:sz="2" w:space="0"/>
            </w:tcBorders>
            <w:vAlign w:val="center"/>
          </w:tcPr>
          <w:p w14:paraId="2530B64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11,789.68</w:t>
            </w:r>
          </w:p>
        </w:tc>
        <w:tc>
          <w:tcPr>
            <w:tcW w:w="2410" w:type="dxa"/>
            <w:tcBorders>
              <w:top w:val="single" w:color="auto" w:sz="2" w:space="0"/>
              <w:left w:val="single" w:color="auto" w:sz="2" w:space="0"/>
              <w:bottom w:val="single" w:color="auto" w:sz="2" w:space="0"/>
              <w:right w:val="single" w:color="auto" w:sz="2" w:space="0"/>
            </w:tcBorders>
            <w:vAlign w:val="center"/>
          </w:tcPr>
          <w:p w14:paraId="5A2603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60.00%</w:t>
            </w:r>
          </w:p>
        </w:tc>
      </w:tr>
      <w:tr w14:paraId="1E274C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5E0217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61E119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4059F41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2FD5FE1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r>
      <w:tr w14:paraId="468765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C25369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6E69AE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10,899,336.96</w:t>
            </w:r>
          </w:p>
        </w:tc>
        <w:tc>
          <w:tcPr>
            <w:tcW w:w="2410" w:type="dxa"/>
            <w:tcBorders>
              <w:top w:val="single" w:color="auto" w:sz="2" w:space="0"/>
              <w:left w:val="single" w:color="auto" w:sz="2" w:space="0"/>
              <w:bottom w:val="single" w:color="auto" w:sz="2" w:space="0"/>
              <w:right w:val="single" w:color="auto" w:sz="2" w:space="0"/>
            </w:tcBorders>
            <w:vAlign w:val="center"/>
          </w:tcPr>
          <w:p w14:paraId="197846B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559,993.70</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4519314">
            <w:pPr>
              <w:rPr>
                <w:color w:val="auto"/>
              </w:rPr>
            </w:pPr>
          </w:p>
        </w:tc>
      </w:tr>
    </w:tbl>
    <w:p w14:paraId="4513260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4027315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按组合计提坏账准备类别名称：(3)除（1）和（2）以外的组合</w:t>
      </w:r>
    </w:p>
    <w:p w14:paraId="1FDF81B4">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649439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BE41B5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BD2E14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34B461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62C4EB9">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C9932B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1A45A4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301886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664C34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6A17B7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4C1EFAE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29,836,044.26</w:t>
            </w:r>
          </w:p>
        </w:tc>
        <w:tc>
          <w:tcPr>
            <w:tcW w:w="2410" w:type="dxa"/>
            <w:tcBorders>
              <w:top w:val="single" w:color="auto" w:sz="2" w:space="0"/>
              <w:left w:val="single" w:color="auto" w:sz="2" w:space="0"/>
              <w:bottom w:val="single" w:color="auto" w:sz="2" w:space="0"/>
              <w:right w:val="single" w:color="auto" w:sz="2" w:space="0"/>
            </w:tcBorders>
            <w:vAlign w:val="center"/>
          </w:tcPr>
          <w:p w14:paraId="410ACC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156,658.82</w:t>
            </w:r>
          </w:p>
        </w:tc>
        <w:tc>
          <w:tcPr>
            <w:tcW w:w="2410" w:type="dxa"/>
            <w:tcBorders>
              <w:top w:val="single" w:color="auto" w:sz="2" w:space="0"/>
              <w:left w:val="single" w:color="auto" w:sz="2" w:space="0"/>
              <w:bottom w:val="single" w:color="auto" w:sz="2" w:space="0"/>
              <w:right w:val="single" w:color="auto" w:sz="2" w:space="0"/>
            </w:tcBorders>
            <w:vAlign w:val="center"/>
          </w:tcPr>
          <w:p w14:paraId="612C4B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0.53%</w:t>
            </w:r>
          </w:p>
        </w:tc>
      </w:tr>
      <w:tr w14:paraId="506E78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9B768F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1BCE702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55,004,713.55</w:t>
            </w:r>
          </w:p>
        </w:tc>
        <w:tc>
          <w:tcPr>
            <w:tcW w:w="2410" w:type="dxa"/>
            <w:tcBorders>
              <w:top w:val="single" w:color="auto" w:sz="2" w:space="0"/>
              <w:left w:val="single" w:color="auto" w:sz="2" w:space="0"/>
              <w:bottom w:val="single" w:color="auto" w:sz="2" w:space="0"/>
              <w:right w:val="single" w:color="auto" w:sz="2" w:space="0"/>
            </w:tcBorders>
            <w:vAlign w:val="center"/>
          </w:tcPr>
          <w:p w14:paraId="074E858D">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23147F5">
            <w:pPr>
              <w:spacing w:before="0" w:after="0" w:line="240" w:lineRule="exact"/>
              <w:jc w:val="right"/>
              <w:rPr>
                <w:rFonts w:ascii="宋体" w:hAnsi="宋体" w:eastAsia="宋体" w:cs="宋体"/>
                <w:color w:val="auto"/>
                <w:sz w:val="18"/>
                <w:szCs w:val="18"/>
              </w:rPr>
            </w:pPr>
          </w:p>
        </w:tc>
      </w:tr>
      <w:tr w14:paraId="1CE02C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6417F5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0735F0B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36,868.50</w:t>
            </w:r>
          </w:p>
        </w:tc>
        <w:tc>
          <w:tcPr>
            <w:tcW w:w="2410" w:type="dxa"/>
            <w:tcBorders>
              <w:top w:val="single" w:color="auto" w:sz="2" w:space="0"/>
              <w:left w:val="single" w:color="auto" w:sz="2" w:space="0"/>
              <w:bottom w:val="single" w:color="auto" w:sz="2" w:space="0"/>
              <w:right w:val="single" w:color="auto" w:sz="2" w:space="0"/>
            </w:tcBorders>
            <w:vAlign w:val="center"/>
          </w:tcPr>
          <w:p w14:paraId="450C63DF">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65A2D12">
            <w:pPr>
              <w:spacing w:before="0" w:after="0" w:line="240" w:lineRule="exact"/>
              <w:jc w:val="right"/>
              <w:rPr>
                <w:rFonts w:ascii="宋体" w:hAnsi="宋体" w:eastAsia="宋体" w:cs="宋体"/>
                <w:color w:val="auto"/>
                <w:sz w:val="18"/>
                <w:szCs w:val="18"/>
              </w:rPr>
            </w:pPr>
          </w:p>
        </w:tc>
      </w:tr>
      <w:tr w14:paraId="01DA01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471B84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5A4C21B3">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ED0DFE4">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1B91B0B">
            <w:pPr>
              <w:spacing w:before="0" w:after="0" w:line="240" w:lineRule="exact"/>
              <w:jc w:val="right"/>
              <w:rPr>
                <w:rFonts w:ascii="宋体" w:hAnsi="宋体" w:eastAsia="宋体" w:cs="宋体"/>
                <w:color w:val="auto"/>
                <w:sz w:val="18"/>
                <w:szCs w:val="18"/>
              </w:rPr>
            </w:pPr>
          </w:p>
        </w:tc>
      </w:tr>
      <w:tr w14:paraId="1B906A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6DFD3B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5FAAA525">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D4F007B">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64FB3E4">
            <w:pPr>
              <w:spacing w:before="0" w:after="0" w:line="240" w:lineRule="exact"/>
              <w:jc w:val="right"/>
              <w:rPr>
                <w:rFonts w:ascii="宋体" w:hAnsi="宋体" w:eastAsia="宋体" w:cs="宋体"/>
                <w:color w:val="auto"/>
                <w:sz w:val="18"/>
                <w:szCs w:val="18"/>
              </w:rPr>
            </w:pPr>
          </w:p>
        </w:tc>
      </w:tr>
      <w:tr w14:paraId="104E47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72CA326">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7C2C5399">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BD29FB3">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30B21E8">
            <w:pPr>
              <w:spacing w:before="0" w:after="0" w:line="240" w:lineRule="exact"/>
              <w:jc w:val="right"/>
              <w:rPr>
                <w:rFonts w:ascii="宋体" w:hAnsi="宋体" w:eastAsia="宋体" w:cs="宋体"/>
                <w:color w:val="auto"/>
                <w:sz w:val="18"/>
                <w:szCs w:val="18"/>
              </w:rPr>
            </w:pPr>
          </w:p>
        </w:tc>
      </w:tr>
      <w:tr w14:paraId="6E393F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C30D1A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64BFEDE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84,877,626.31</w:t>
            </w:r>
          </w:p>
        </w:tc>
        <w:tc>
          <w:tcPr>
            <w:tcW w:w="2410" w:type="dxa"/>
            <w:tcBorders>
              <w:top w:val="single" w:color="auto" w:sz="2" w:space="0"/>
              <w:left w:val="single" w:color="auto" w:sz="2" w:space="0"/>
              <w:bottom w:val="single" w:color="auto" w:sz="2" w:space="0"/>
              <w:right w:val="single" w:color="auto" w:sz="2" w:space="0"/>
            </w:tcBorders>
            <w:vAlign w:val="center"/>
          </w:tcPr>
          <w:p w14:paraId="59CB00B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156,658.82</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6F01DE6">
            <w:pPr>
              <w:rPr>
                <w:color w:val="auto"/>
              </w:rPr>
            </w:pPr>
          </w:p>
        </w:tc>
      </w:tr>
    </w:tbl>
    <w:p w14:paraId="7D59DAB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40EC99C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如是按照预期信用损失一般模型计提应收账款坏账准备：</w:t>
      </w:r>
    </w:p>
    <w:p w14:paraId="2B05122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66A18FF9">
      <w:pPr>
        <w:keepNext/>
        <w:keepLines/>
        <w:spacing w:before="300" w:after="300" w:line="280" w:lineRule="exact"/>
        <w:jc w:val="left"/>
        <w:outlineLvl w:val="3"/>
        <w:rPr>
          <w:rFonts w:ascii="宋体" w:hAnsi="宋体" w:eastAsia="宋体" w:cs="宋体"/>
          <w:b/>
          <w:bCs/>
          <w:color w:val="auto"/>
          <w:sz w:val="21"/>
          <w:szCs w:val="21"/>
        </w:rPr>
      </w:pPr>
      <w:bookmarkStart w:id="428" w:name="_Toc989404"/>
      <w:r>
        <w:rPr>
          <w:rFonts w:ascii="宋体" w:hAnsi="宋体" w:eastAsia="宋体" w:cs="宋体"/>
          <w:b/>
          <w:bCs/>
          <w:color w:val="auto"/>
          <w:sz w:val="21"/>
          <w:szCs w:val="21"/>
        </w:rPr>
        <w:t>（3）本期计提、收回或转回的坏账准备情况</w:t>
      </w:r>
      <w:bookmarkEnd w:id="428"/>
    </w:p>
    <w:p w14:paraId="783529D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本期计提坏账准备情况：</w:t>
      </w:r>
    </w:p>
    <w:p w14:paraId="2542DF20">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3AF84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2A435F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8F9DDE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4A9AC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AE0686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7167E1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CE78579">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7934EA6">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EC816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AF2A48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87C8DE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42F787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2A3DED4">
            <w:pPr>
              <w:rPr>
                <w:color w:val="auto"/>
              </w:rPr>
            </w:pPr>
          </w:p>
        </w:tc>
      </w:tr>
      <w:tr w14:paraId="7ABFF3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57D826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单项计提预期信用损失的应收账款</w:t>
            </w:r>
          </w:p>
        </w:tc>
        <w:tc>
          <w:tcPr>
            <w:tcW w:w="1377" w:type="dxa"/>
            <w:tcBorders>
              <w:top w:val="single" w:color="auto" w:sz="2" w:space="0"/>
              <w:left w:val="single" w:color="auto" w:sz="2" w:space="0"/>
              <w:bottom w:val="single" w:color="auto" w:sz="2" w:space="0"/>
              <w:right w:val="single" w:color="auto" w:sz="2" w:space="0"/>
            </w:tcBorders>
            <w:vAlign w:val="center"/>
          </w:tcPr>
          <w:p w14:paraId="2AC612F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c>
          <w:tcPr>
            <w:tcW w:w="1377" w:type="dxa"/>
            <w:tcBorders>
              <w:top w:val="single" w:color="auto" w:sz="2" w:space="0"/>
              <w:left w:val="single" w:color="auto" w:sz="2" w:space="0"/>
              <w:bottom w:val="single" w:color="auto" w:sz="2" w:space="0"/>
              <w:right w:val="single" w:color="auto" w:sz="2" w:space="0"/>
            </w:tcBorders>
            <w:vAlign w:val="center"/>
          </w:tcPr>
          <w:p w14:paraId="348AD681">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C42470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C48506F">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4B0215B">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B8BEC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634,929.07</w:t>
            </w:r>
          </w:p>
        </w:tc>
      </w:tr>
      <w:tr w14:paraId="00DE79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49A034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按组合计提预期信用损失的应收账款</w:t>
            </w:r>
          </w:p>
        </w:tc>
        <w:tc>
          <w:tcPr>
            <w:tcW w:w="1377" w:type="dxa"/>
            <w:tcBorders>
              <w:top w:val="single" w:color="auto" w:sz="2" w:space="0"/>
              <w:left w:val="single" w:color="auto" w:sz="2" w:space="0"/>
              <w:bottom w:val="single" w:color="auto" w:sz="2" w:space="0"/>
              <w:right w:val="single" w:color="auto" w:sz="2" w:space="0"/>
            </w:tcBorders>
            <w:vAlign w:val="center"/>
          </w:tcPr>
          <w:p w14:paraId="4A40BF5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1,017,119.97</w:t>
            </w:r>
          </w:p>
        </w:tc>
        <w:tc>
          <w:tcPr>
            <w:tcW w:w="1377" w:type="dxa"/>
            <w:tcBorders>
              <w:top w:val="single" w:color="auto" w:sz="2" w:space="0"/>
              <w:left w:val="single" w:color="auto" w:sz="2" w:space="0"/>
              <w:bottom w:val="single" w:color="auto" w:sz="2" w:space="0"/>
              <w:right w:val="single" w:color="auto" w:sz="2" w:space="0"/>
            </w:tcBorders>
            <w:vAlign w:val="center"/>
          </w:tcPr>
          <w:p w14:paraId="356E8EF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311,252.19</w:t>
            </w:r>
          </w:p>
        </w:tc>
        <w:tc>
          <w:tcPr>
            <w:tcW w:w="1377" w:type="dxa"/>
            <w:tcBorders>
              <w:top w:val="single" w:color="auto" w:sz="2" w:space="0"/>
              <w:left w:val="single" w:color="auto" w:sz="2" w:space="0"/>
              <w:bottom w:val="single" w:color="auto" w:sz="2" w:space="0"/>
              <w:right w:val="single" w:color="auto" w:sz="2" w:space="0"/>
            </w:tcBorders>
            <w:vAlign w:val="center"/>
          </w:tcPr>
          <w:p w14:paraId="0722ABD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126,273.79</w:t>
            </w:r>
          </w:p>
        </w:tc>
        <w:tc>
          <w:tcPr>
            <w:tcW w:w="1377" w:type="dxa"/>
            <w:tcBorders>
              <w:top w:val="single" w:color="auto" w:sz="2" w:space="0"/>
              <w:left w:val="single" w:color="auto" w:sz="2" w:space="0"/>
              <w:bottom w:val="single" w:color="auto" w:sz="2" w:space="0"/>
              <w:right w:val="single" w:color="auto" w:sz="2" w:space="0"/>
            </w:tcBorders>
            <w:vAlign w:val="center"/>
          </w:tcPr>
          <w:p w14:paraId="769D01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804.00</w:t>
            </w:r>
          </w:p>
        </w:tc>
        <w:tc>
          <w:tcPr>
            <w:tcW w:w="1377" w:type="dxa"/>
            <w:tcBorders>
              <w:top w:val="single" w:color="auto" w:sz="2" w:space="0"/>
              <w:left w:val="single" w:color="auto" w:sz="2" w:space="0"/>
              <w:bottom w:val="single" w:color="auto" w:sz="2" w:space="0"/>
              <w:right w:val="single" w:color="auto" w:sz="2" w:space="0"/>
            </w:tcBorders>
            <w:vAlign w:val="center"/>
          </w:tcPr>
          <w:p w14:paraId="1B48AED7">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46298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1,201,294.37</w:t>
            </w:r>
          </w:p>
        </w:tc>
      </w:tr>
      <w:tr w14:paraId="26D27F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D84D92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47ADFE6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1,652,049.04</w:t>
            </w:r>
          </w:p>
        </w:tc>
        <w:tc>
          <w:tcPr>
            <w:tcW w:w="1377" w:type="dxa"/>
            <w:tcBorders>
              <w:top w:val="single" w:color="auto" w:sz="2" w:space="0"/>
              <w:left w:val="single" w:color="auto" w:sz="2" w:space="0"/>
              <w:bottom w:val="single" w:color="auto" w:sz="2" w:space="0"/>
              <w:right w:val="single" w:color="auto" w:sz="2" w:space="0"/>
            </w:tcBorders>
            <w:vAlign w:val="center"/>
          </w:tcPr>
          <w:p w14:paraId="7A72A04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311,252.19</w:t>
            </w:r>
          </w:p>
        </w:tc>
        <w:tc>
          <w:tcPr>
            <w:tcW w:w="1377" w:type="dxa"/>
            <w:tcBorders>
              <w:top w:val="single" w:color="auto" w:sz="2" w:space="0"/>
              <w:left w:val="single" w:color="auto" w:sz="2" w:space="0"/>
              <w:bottom w:val="single" w:color="auto" w:sz="2" w:space="0"/>
              <w:right w:val="single" w:color="auto" w:sz="2" w:space="0"/>
            </w:tcBorders>
            <w:vAlign w:val="center"/>
          </w:tcPr>
          <w:p w14:paraId="5193D56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126,273.79</w:t>
            </w:r>
          </w:p>
        </w:tc>
        <w:tc>
          <w:tcPr>
            <w:tcW w:w="1377" w:type="dxa"/>
            <w:tcBorders>
              <w:top w:val="single" w:color="auto" w:sz="2" w:space="0"/>
              <w:left w:val="single" w:color="auto" w:sz="2" w:space="0"/>
              <w:bottom w:val="single" w:color="auto" w:sz="2" w:space="0"/>
              <w:right w:val="single" w:color="auto" w:sz="2" w:space="0"/>
            </w:tcBorders>
            <w:vAlign w:val="center"/>
          </w:tcPr>
          <w:p w14:paraId="056FE45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804.00</w:t>
            </w:r>
          </w:p>
        </w:tc>
        <w:tc>
          <w:tcPr>
            <w:tcW w:w="1377" w:type="dxa"/>
            <w:tcBorders>
              <w:top w:val="single" w:color="auto" w:sz="2" w:space="0"/>
              <w:left w:val="single" w:color="auto" w:sz="2" w:space="0"/>
              <w:bottom w:val="single" w:color="auto" w:sz="2" w:space="0"/>
              <w:right w:val="single" w:color="auto" w:sz="2" w:space="0"/>
            </w:tcBorders>
            <w:vAlign w:val="center"/>
          </w:tcPr>
          <w:p w14:paraId="178BFA44">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BDD760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1,836,223.44</w:t>
            </w:r>
          </w:p>
        </w:tc>
      </w:tr>
    </w:tbl>
    <w:p w14:paraId="7360D63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其中本期坏账准备收回或转回金额重要的：</w:t>
      </w:r>
    </w:p>
    <w:p w14:paraId="6F9809C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62CAD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E2A66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4ADF1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94FE3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F2FCC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89B3F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34492350">
      <w:pPr>
        <w:spacing w:before="100" w:after="100" w:line="0" w:lineRule="exact"/>
        <w:jc w:val="left"/>
        <w:rPr>
          <w:color w:val="auto"/>
        </w:rPr>
      </w:pPr>
    </w:p>
    <w:p w14:paraId="3DAE8635">
      <w:pPr>
        <w:keepNext/>
        <w:keepLines/>
        <w:spacing w:before="300" w:after="300" w:line="280" w:lineRule="exact"/>
        <w:jc w:val="left"/>
        <w:outlineLvl w:val="3"/>
        <w:rPr>
          <w:rFonts w:ascii="宋体" w:hAnsi="宋体" w:eastAsia="宋体" w:cs="宋体"/>
          <w:b/>
          <w:bCs/>
          <w:color w:val="auto"/>
          <w:sz w:val="21"/>
          <w:szCs w:val="21"/>
        </w:rPr>
      </w:pPr>
      <w:bookmarkStart w:id="429" w:name="_Toc989405"/>
      <w:r>
        <w:rPr>
          <w:rFonts w:ascii="宋体" w:hAnsi="宋体" w:eastAsia="宋体" w:cs="宋体"/>
          <w:b/>
          <w:bCs/>
          <w:color w:val="auto"/>
          <w:sz w:val="21"/>
          <w:szCs w:val="21"/>
        </w:rPr>
        <w:t>（4）本期实际核销的应收账款情况</w:t>
      </w:r>
      <w:bookmarkEnd w:id="429"/>
    </w:p>
    <w:p w14:paraId="5125AF7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5C182E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CB2647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A12BC4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r w14:paraId="4DE316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361EC9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实际核销的应收账款</w:t>
            </w:r>
          </w:p>
        </w:tc>
        <w:tc>
          <w:tcPr>
            <w:tcW w:w="4820" w:type="dxa"/>
            <w:tcBorders>
              <w:top w:val="single" w:color="auto" w:sz="2" w:space="0"/>
              <w:left w:val="single" w:color="auto" w:sz="2" w:space="0"/>
              <w:bottom w:val="single" w:color="auto" w:sz="2" w:space="0"/>
              <w:right w:val="single" w:color="auto" w:sz="2" w:space="0"/>
            </w:tcBorders>
            <w:vAlign w:val="center"/>
          </w:tcPr>
          <w:p w14:paraId="309A946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804.00</w:t>
            </w:r>
          </w:p>
        </w:tc>
      </w:tr>
    </w:tbl>
    <w:p w14:paraId="6D8DFC9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其中重要的应收账款核销情况：</w:t>
      </w:r>
    </w:p>
    <w:p w14:paraId="42EC312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28D859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2DA315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D8A181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应收账款性质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8E2D06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C40AFC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18D294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A52DB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7903302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应收账款核销说明：</w:t>
      </w:r>
    </w:p>
    <w:p w14:paraId="650047C4">
      <w:pPr>
        <w:keepNext/>
        <w:keepLines/>
        <w:spacing w:before="300" w:after="300" w:line="280" w:lineRule="exact"/>
        <w:jc w:val="left"/>
        <w:outlineLvl w:val="3"/>
        <w:rPr>
          <w:rFonts w:ascii="宋体" w:hAnsi="宋体" w:eastAsia="宋体" w:cs="宋体"/>
          <w:b/>
          <w:bCs/>
          <w:color w:val="auto"/>
          <w:sz w:val="21"/>
          <w:szCs w:val="21"/>
        </w:rPr>
      </w:pPr>
      <w:bookmarkStart w:id="430" w:name="_Toc989406"/>
      <w:r>
        <w:rPr>
          <w:rFonts w:ascii="宋体" w:hAnsi="宋体" w:eastAsia="宋体" w:cs="宋体"/>
          <w:b/>
          <w:bCs/>
          <w:color w:val="auto"/>
          <w:sz w:val="21"/>
          <w:szCs w:val="21"/>
        </w:rPr>
        <w:t>（5）按欠款方归集的期末余额前五名的应收账款和合同资产情况</w:t>
      </w:r>
      <w:bookmarkEnd w:id="430"/>
    </w:p>
    <w:p w14:paraId="13855F3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625C8E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95C1CF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6BE445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应收账款期末余额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629F51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5253BB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应收账款和合同资产期末余额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A43DDD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占应收账款和合同资产期末余额合计数的比例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F19263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应收账款坏账准备和合同资产减值准备期末余额</w:t>
            </w:r>
          </w:p>
        </w:tc>
      </w:tr>
      <w:tr w14:paraId="3CB26F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B2949A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福建广生中霖生物科技有限公司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4352775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81,705,353.51</w:t>
            </w:r>
          </w:p>
        </w:tc>
        <w:tc>
          <w:tcPr>
            <w:tcW w:w="1606" w:type="dxa"/>
            <w:tcBorders>
              <w:top w:val="single" w:color="auto" w:sz="2" w:space="0"/>
              <w:left w:val="single" w:color="auto" w:sz="2" w:space="0"/>
              <w:bottom w:val="single" w:color="auto" w:sz="2" w:space="0"/>
              <w:right w:val="single" w:color="auto" w:sz="2" w:space="0"/>
            </w:tcBorders>
            <w:vAlign w:val="center"/>
          </w:tcPr>
          <w:p w14:paraId="6AD87E70">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5172D9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81,705,353.51</w:t>
            </w:r>
          </w:p>
        </w:tc>
        <w:tc>
          <w:tcPr>
            <w:tcW w:w="1606" w:type="dxa"/>
            <w:tcBorders>
              <w:top w:val="single" w:color="auto" w:sz="2" w:space="0"/>
              <w:left w:val="single" w:color="auto" w:sz="2" w:space="0"/>
              <w:bottom w:val="single" w:color="auto" w:sz="2" w:space="0"/>
              <w:right w:val="single" w:color="auto" w:sz="2" w:space="0"/>
            </w:tcBorders>
            <w:vAlign w:val="center"/>
          </w:tcPr>
          <w:p w14:paraId="3AFC3B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82.56%</w:t>
            </w:r>
          </w:p>
        </w:tc>
        <w:tc>
          <w:tcPr>
            <w:tcW w:w="1606" w:type="dxa"/>
            <w:tcBorders>
              <w:top w:val="single" w:color="auto" w:sz="2" w:space="0"/>
              <w:left w:val="single" w:color="auto" w:sz="2" w:space="0"/>
              <w:bottom w:val="single" w:color="auto" w:sz="2" w:space="0"/>
              <w:right w:val="single" w:color="auto" w:sz="2" w:space="0"/>
            </w:tcBorders>
            <w:vAlign w:val="center"/>
          </w:tcPr>
          <w:p w14:paraId="61692EF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25A9C6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2CB2A4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福州壹澄壹实业发展有限公司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5CC4BD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1,553,752.20</w:t>
            </w:r>
          </w:p>
        </w:tc>
        <w:tc>
          <w:tcPr>
            <w:tcW w:w="1606" w:type="dxa"/>
            <w:tcBorders>
              <w:top w:val="single" w:color="auto" w:sz="2" w:space="0"/>
              <w:left w:val="single" w:color="auto" w:sz="2" w:space="0"/>
              <w:bottom w:val="single" w:color="auto" w:sz="2" w:space="0"/>
              <w:right w:val="single" w:color="auto" w:sz="2" w:space="0"/>
            </w:tcBorders>
            <w:vAlign w:val="center"/>
          </w:tcPr>
          <w:p w14:paraId="1B1A99FF">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56E7B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1,553,752.20</w:t>
            </w:r>
          </w:p>
        </w:tc>
        <w:tc>
          <w:tcPr>
            <w:tcW w:w="1606" w:type="dxa"/>
            <w:tcBorders>
              <w:top w:val="single" w:color="auto" w:sz="2" w:space="0"/>
              <w:left w:val="single" w:color="auto" w:sz="2" w:space="0"/>
              <w:bottom w:val="single" w:color="auto" w:sz="2" w:space="0"/>
              <w:right w:val="single" w:color="auto" w:sz="2" w:space="0"/>
            </w:tcBorders>
            <w:vAlign w:val="center"/>
          </w:tcPr>
          <w:p w14:paraId="6E98B66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1.57%</w:t>
            </w:r>
          </w:p>
        </w:tc>
        <w:tc>
          <w:tcPr>
            <w:tcW w:w="1606" w:type="dxa"/>
            <w:tcBorders>
              <w:top w:val="single" w:color="auto" w:sz="2" w:space="0"/>
              <w:left w:val="single" w:color="auto" w:sz="2" w:space="0"/>
              <w:bottom w:val="single" w:color="auto" w:sz="2" w:space="0"/>
              <w:right w:val="single" w:color="auto" w:sz="2" w:space="0"/>
            </w:tcBorders>
            <w:vAlign w:val="center"/>
          </w:tcPr>
          <w:p w14:paraId="6E0B314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77,687.61</w:t>
            </w:r>
          </w:p>
        </w:tc>
      </w:tr>
      <w:tr w14:paraId="4AE94B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12E307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福建瑞泰来医药科技有限公司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4D81EC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1,250,800.00</w:t>
            </w:r>
          </w:p>
        </w:tc>
        <w:tc>
          <w:tcPr>
            <w:tcW w:w="1606" w:type="dxa"/>
            <w:tcBorders>
              <w:top w:val="single" w:color="auto" w:sz="2" w:space="0"/>
              <w:left w:val="single" w:color="auto" w:sz="2" w:space="0"/>
              <w:bottom w:val="single" w:color="auto" w:sz="2" w:space="0"/>
              <w:right w:val="single" w:color="auto" w:sz="2" w:space="0"/>
            </w:tcBorders>
            <w:vAlign w:val="center"/>
          </w:tcPr>
          <w:p w14:paraId="3DF29840">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A2B863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1,250,800.00</w:t>
            </w:r>
          </w:p>
        </w:tc>
        <w:tc>
          <w:tcPr>
            <w:tcW w:w="1606" w:type="dxa"/>
            <w:tcBorders>
              <w:top w:val="single" w:color="auto" w:sz="2" w:space="0"/>
              <w:left w:val="single" w:color="auto" w:sz="2" w:space="0"/>
              <w:bottom w:val="single" w:color="auto" w:sz="2" w:space="0"/>
              <w:right w:val="single" w:color="auto" w:sz="2" w:space="0"/>
            </w:tcBorders>
            <w:vAlign w:val="center"/>
          </w:tcPr>
          <w:p w14:paraId="78368A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1.26%</w:t>
            </w:r>
          </w:p>
        </w:tc>
        <w:tc>
          <w:tcPr>
            <w:tcW w:w="1606" w:type="dxa"/>
            <w:tcBorders>
              <w:top w:val="single" w:color="auto" w:sz="2" w:space="0"/>
              <w:left w:val="single" w:color="auto" w:sz="2" w:space="0"/>
              <w:bottom w:val="single" w:color="auto" w:sz="2" w:space="0"/>
              <w:right w:val="single" w:color="auto" w:sz="2" w:space="0"/>
            </w:tcBorders>
            <w:vAlign w:val="center"/>
          </w:tcPr>
          <w:p w14:paraId="5774AC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62,540.00</w:t>
            </w:r>
          </w:p>
        </w:tc>
      </w:tr>
      <w:tr w14:paraId="60A5F3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470EFB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昆山亿方药业有限公司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48B60B5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1,187,325.67</w:t>
            </w:r>
          </w:p>
        </w:tc>
        <w:tc>
          <w:tcPr>
            <w:tcW w:w="1606" w:type="dxa"/>
            <w:tcBorders>
              <w:top w:val="single" w:color="auto" w:sz="2" w:space="0"/>
              <w:left w:val="single" w:color="auto" w:sz="2" w:space="0"/>
              <w:bottom w:val="single" w:color="auto" w:sz="2" w:space="0"/>
              <w:right w:val="single" w:color="auto" w:sz="2" w:space="0"/>
            </w:tcBorders>
            <w:vAlign w:val="center"/>
          </w:tcPr>
          <w:p w14:paraId="10D2988B">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772C6C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1,187,325.67</w:t>
            </w:r>
          </w:p>
        </w:tc>
        <w:tc>
          <w:tcPr>
            <w:tcW w:w="1606" w:type="dxa"/>
            <w:tcBorders>
              <w:top w:val="single" w:color="auto" w:sz="2" w:space="0"/>
              <w:left w:val="single" w:color="auto" w:sz="2" w:space="0"/>
              <w:bottom w:val="single" w:color="auto" w:sz="2" w:space="0"/>
              <w:right w:val="single" w:color="auto" w:sz="2" w:space="0"/>
            </w:tcBorders>
            <w:vAlign w:val="center"/>
          </w:tcPr>
          <w:p w14:paraId="064CD38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1.20%</w:t>
            </w:r>
          </w:p>
        </w:tc>
        <w:tc>
          <w:tcPr>
            <w:tcW w:w="1606" w:type="dxa"/>
            <w:tcBorders>
              <w:top w:val="single" w:color="auto" w:sz="2" w:space="0"/>
              <w:left w:val="single" w:color="auto" w:sz="2" w:space="0"/>
              <w:bottom w:val="single" w:color="auto" w:sz="2" w:space="0"/>
              <w:right w:val="single" w:color="auto" w:sz="2" w:space="0"/>
            </w:tcBorders>
            <w:vAlign w:val="center"/>
          </w:tcPr>
          <w:p w14:paraId="48A7F44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59,366.28</w:t>
            </w:r>
          </w:p>
        </w:tc>
      </w:tr>
      <w:tr w14:paraId="217734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F26E1E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京东大药房泰州连锁有限公司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60B4949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655,631.08</w:t>
            </w:r>
          </w:p>
        </w:tc>
        <w:tc>
          <w:tcPr>
            <w:tcW w:w="1606" w:type="dxa"/>
            <w:tcBorders>
              <w:top w:val="single" w:color="auto" w:sz="2" w:space="0"/>
              <w:left w:val="single" w:color="auto" w:sz="2" w:space="0"/>
              <w:bottom w:val="single" w:color="auto" w:sz="2" w:space="0"/>
              <w:right w:val="single" w:color="auto" w:sz="2" w:space="0"/>
            </w:tcBorders>
            <w:vAlign w:val="center"/>
          </w:tcPr>
          <w:p w14:paraId="315CB340">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DF2835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655,631.08</w:t>
            </w:r>
          </w:p>
        </w:tc>
        <w:tc>
          <w:tcPr>
            <w:tcW w:w="1606" w:type="dxa"/>
            <w:tcBorders>
              <w:top w:val="single" w:color="auto" w:sz="2" w:space="0"/>
              <w:left w:val="single" w:color="auto" w:sz="2" w:space="0"/>
              <w:bottom w:val="single" w:color="auto" w:sz="2" w:space="0"/>
              <w:right w:val="single" w:color="auto" w:sz="2" w:space="0"/>
            </w:tcBorders>
            <w:vAlign w:val="center"/>
          </w:tcPr>
          <w:p w14:paraId="4F236A8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0.66%</w:t>
            </w:r>
          </w:p>
        </w:tc>
        <w:tc>
          <w:tcPr>
            <w:tcW w:w="1606" w:type="dxa"/>
            <w:tcBorders>
              <w:top w:val="single" w:color="auto" w:sz="2" w:space="0"/>
              <w:left w:val="single" w:color="auto" w:sz="2" w:space="0"/>
              <w:bottom w:val="single" w:color="auto" w:sz="2" w:space="0"/>
              <w:right w:val="single" w:color="auto" w:sz="2" w:space="0"/>
            </w:tcBorders>
            <w:vAlign w:val="center"/>
          </w:tcPr>
          <w:p w14:paraId="33CC89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32,781.55</w:t>
            </w:r>
          </w:p>
        </w:tc>
      </w:tr>
      <w:tr w14:paraId="23507A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E05ECF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792B636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86,352,862.46</w:t>
            </w:r>
          </w:p>
        </w:tc>
        <w:tc>
          <w:tcPr>
            <w:tcW w:w="1606" w:type="dxa"/>
            <w:tcBorders>
              <w:top w:val="single" w:color="auto" w:sz="2" w:space="0"/>
              <w:left w:val="single" w:color="auto" w:sz="2" w:space="0"/>
              <w:bottom w:val="single" w:color="auto" w:sz="2" w:space="0"/>
              <w:right w:val="single" w:color="auto" w:sz="2" w:space="0"/>
            </w:tcBorders>
            <w:vAlign w:val="center"/>
          </w:tcPr>
          <w:p w14:paraId="2A8C58F9">
            <w:pPr>
              <w:spacing w:before="0" w:after="0" w:line="240" w:lineRule="exact"/>
              <w:jc w:val="right"/>
              <w:rPr>
                <w:rFonts w:ascii="宋体" w:hAnsi="宋体" w:eastAsia="宋体" w:cs="宋体"/>
                <w:color w:val="auto"/>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1905C7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86,352,862.46</w:t>
            </w:r>
          </w:p>
        </w:tc>
        <w:tc>
          <w:tcPr>
            <w:tcW w:w="1606" w:type="dxa"/>
            <w:tcBorders>
              <w:top w:val="single" w:color="auto" w:sz="2" w:space="0"/>
              <w:left w:val="single" w:color="auto" w:sz="2" w:space="0"/>
              <w:bottom w:val="single" w:color="auto" w:sz="2" w:space="0"/>
              <w:right w:val="single" w:color="auto" w:sz="2" w:space="0"/>
            </w:tcBorders>
            <w:vAlign w:val="center"/>
          </w:tcPr>
          <w:p w14:paraId="68C82CF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87.25%</w:t>
            </w:r>
          </w:p>
        </w:tc>
        <w:tc>
          <w:tcPr>
            <w:tcW w:w="1606" w:type="dxa"/>
            <w:tcBorders>
              <w:top w:val="single" w:color="auto" w:sz="2" w:space="0"/>
              <w:left w:val="single" w:color="auto" w:sz="2" w:space="0"/>
              <w:bottom w:val="single" w:color="auto" w:sz="2" w:space="0"/>
              <w:right w:val="single" w:color="auto" w:sz="2" w:space="0"/>
            </w:tcBorders>
            <w:vAlign w:val="center"/>
          </w:tcPr>
          <w:p w14:paraId="1B94515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232,375.44</w:t>
            </w:r>
          </w:p>
        </w:tc>
      </w:tr>
    </w:tbl>
    <w:p w14:paraId="4E791AA4">
      <w:pPr>
        <w:keepNext/>
        <w:keepLines/>
        <w:spacing w:before="300" w:after="300" w:line="280" w:lineRule="exact"/>
        <w:jc w:val="left"/>
        <w:outlineLvl w:val="2"/>
        <w:rPr>
          <w:rFonts w:ascii="宋体" w:hAnsi="宋体" w:eastAsia="宋体" w:cs="宋体"/>
          <w:b/>
          <w:bCs/>
          <w:color w:val="auto"/>
          <w:sz w:val="21"/>
          <w:szCs w:val="21"/>
        </w:rPr>
      </w:pPr>
      <w:bookmarkStart w:id="431" w:name="_Toc989407"/>
      <w:r>
        <w:rPr>
          <w:rFonts w:ascii="宋体" w:hAnsi="宋体" w:eastAsia="宋体" w:cs="宋体"/>
          <w:b/>
          <w:bCs/>
          <w:color w:val="auto"/>
          <w:sz w:val="21"/>
          <w:szCs w:val="21"/>
        </w:rPr>
        <w:t>2、其他应收款</w:t>
      </w:r>
      <w:bookmarkEnd w:id="431"/>
    </w:p>
    <w:p w14:paraId="52E31A6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CBD5B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C6CE9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0CF58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39B5E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20E21C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064DA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2037FB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40,204,804.02</w:t>
            </w:r>
          </w:p>
        </w:tc>
        <w:tc>
          <w:tcPr>
            <w:tcW w:w="3213" w:type="dxa"/>
            <w:tcBorders>
              <w:top w:val="single" w:color="auto" w:sz="2" w:space="0"/>
              <w:left w:val="single" w:color="auto" w:sz="2" w:space="0"/>
              <w:bottom w:val="single" w:color="auto" w:sz="2" w:space="0"/>
              <w:right w:val="single" w:color="auto" w:sz="2" w:space="0"/>
            </w:tcBorders>
            <w:vAlign w:val="center"/>
          </w:tcPr>
          <w:p w14:paraId="76FBD3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41,993,004.66</w:t>
            </w:r>
          </w:p>
        </w:tc>
      </w:tr>
      <w:tr w14:paraId="483D2C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59D13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0B26C2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40,204,804.02</w:t>
            </w:r>
          </w:p>
        </w:tc>
        <w:tc>
          <w:tcPr>
            <w:tcW w:w="3213" w:type="dxa"/>
            <w:tcBorders>
              <w:top w:val="single" w:color="auto" w:sz="2" w:space="0"/>
              <w:left w:val="single" w:color="auto" w:sz="2" w:space="0"/>
              <w:bottom w:val="single" w:color="auto" w:sz="2" w:space="0"/>
              <w:right w:val="single" w:color="auto" w:sz="2" w:space="0"/>
            </w:tcBorders>
            <w:vAlign w:val="center"/>
          </w:tcPr>
          <w:p w14:paraId="7BC2AB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41,993,004.66</w:t>
            </w:r>
          </w:p>
        </w:tc>
      </w:tr>
    </w:tbl>
    <w:p w14:paraId="628B74C7">
      <w:pPr>
        <w:keepNext/>
        <w:keepLines/>
        <w:spacing w:before="300" w:after="300" w:line="280" w:lineRule="exact"/>
        <w:jc w:val="left"/>
        <w:outlineLvl w:val="3"/>
        <w:rPr>
          <w:rFonts w:ascii="宋体" w:hAnsi="宋体" w:eastAsia="宋体" w:cs="宋体"/>
          <w:b/>
          <w:bCs/>
          <w:color w:val="auto"/>
          <w:sz w:val="18"/>
          <w:szCs w:val="18"/>
        </w:rPr>
      </w:pPr>
      <w:bookmarkStart w:id="432" w:name="_Toc989408"/>
      <w:r>
        <w:rPr>
          <w:rFonts w:ascii="宋体" w:hAnsi="宋体" w:eastAsia="宋体" w:cs="宋体"/>
          <w:b/>
          <w:bCs/>
          <w:color w:val="auto"/>
          <w:sz w:val="18"/>
          <w:szCs w:val="18"/>
        </w:rPr>
        <w:t>（1）应收利息</w:t>
      </w:r>
      <w:bookmarkEnd w:id="432"/>
    </w:p>
    <w:p w14:paraId="438C6E7D">
      <w:pPr>
        <w:keepNext/>
        <w:keepLines/>
        <w:spacing w:before="300" w:after="300" w:line="280" w:lineRule="exact"/>
        <w:jc w:val="left"/>
        <w:outlineLvl w:val="4"/>
        <w:rPr>
          <w:rFonts w:ascii="宋体" w:hAnsi="宋体" w:eastAsia="宋体" w:cs="宋体"/>
          <w:b/>
          <w:bCs/>
          <w:color w:val="auto"/>
          <w:sz w:val="18"/>
          <w:szCs w:val="18"/>
        </w:rPr>
      </w:pPr>
      <w:bookmarkStart w:id="433" w:name="_Toc989409"/>
      <w:r>
        <w:rPr>
          <w:rFonts w:ascii="宋体" w:hAnsi="宋体" w:eastAsia="宋体" w:cs="宋体"/>
          <w:b/>
          <w:bCs/>
          <w:color w:val="auto"/>
          <w:sz w:val="18"/>
          <w:szCs w:val="18"/>
        </w:rPr>
        <w:t>1）应收利息分类</w:t>
      </w:r>
      <w:bookmarkEnd w:id="433"/>
    </w:p>
    <w:p w14:paraId="608EE8E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8C251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3BA6E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B7841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6E99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6537A7FA">
      <w:pPr>
        <w:keepNext/>
        <w:keepLines/>
        <w:spacing w:before="300" w:after="300" w:line="280" w:lineRule="exact"/>
        <w:jc w:val="left"/>
        <w:outlineLvl w:val="4"/>
        <w:rPr>
          <w:rFonts w:ascii="宋体" w:hAnsi="宋体" w:eastAsia="宋体" w:cs="宋体"/>
          <w:b/>
          <w:bCs/>
          <w:color w:val="auto"/>
          <w:sz w:val="18"/>
          <w:szCs w:val="18"/>
        </w:rPr>
      </w:pPr>
      <w:bookmarkStart w:id="434" w:name="_Toc989410"/>
      <w:r>
        <w:rPr>
          <w:rFonts w:ascii="宋体" w:hAnsi="宋体" w:eastAsia="宋体" w:cs="宋体"/>
          <w:b/>
          <w:bCs/>
          <w:color w:val="auto"/>
          <w:sz w:val="18"/>
          <w:szCs w:val="18"/>
        </w:rPr>
        <w:t>2）重要逾期利息</w:t>
      </w:r>
      <w:bookmarkEnd w:id="434"/>
    </w:p>
    <w:p w14:paraId="59A4BDB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D44FA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653E74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借款单位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D8EF3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2372E3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逾期时间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E3465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逾期原因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29D0E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是否发生减值及其判断依据</w:t>
            </w:r>
          </w:p>
        </w:tc>
      </w:tr>
    </w:tbl>
    <w:p w14:paraId="2E86AF1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8392E75">
      <w:pPr>
        <w:keepNext/>
        <w:keepLines/>
        <w:spacing w:before="300" w:after="300" w:line="280" w:lineRule="exact"/>
        <w:jc w:val="left"/>
        <w:outlineLvl w:val="4"/>
        <w:rPr>
          <w:rFonts w:ascii="宋体" w:hAnsi="宋体" w:eastAsia="宋体" w:cs="宋体"/>
          <w:b/>
          <w:bCs/>
          <w:color w:val="auto"/>
          <w:sz w:val="18"/>
          <w:szCs w:val="18"/>
        </w:rPr>
      </w:pPr>
      <w:bookmarkStart w:id="435" w:name="_Toc989411"/>
      <w:r>
        <w:rPr>
          <w:rFonts w:ascii="宋体" w:hAnsi="宋体" w:eastAsia="宋体" w:cs="宋体"/>
          <w:b/>
          <w:bCs/>
          <w:color w:val="auto"/>
          <w:sz w:val="18"/>
          <w:szCs w:val="18"/>
        </w:rPr>
        <w:t>3）按坏账计提方法分类披露</w:t>
      </w:r>
      <w:bookmarkEnd w:id="435"/>
    </w:p>
    <w:p w14:paraId="7D96340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7015DB4F">
      <w:pPr>
        <w:keepNext/>
        <w:keepLines/>
        <w:spacing w:before="300" w:after="300" w:line="280" w:lineRule="exact"/>
        <w:jc w:val="left"/>
        <w:outlineLvl w:val="4"/>
        <w:rPr>
          <w:rFonts w:ascii="宋体" w:hAnsi="宋体" w:eastAsia="宋体" w:cs="宋体"/>
          <w:b/>
          <w:bCs/>
          <w:color w:val="auto"/>
          <w:sz w:val="18"/>
          <w:szCs w:val="18"/>
        </w:rPr>
      </w:pPr>
      <w:bookmarkStart w:id="436" w:name="_Toc989412"/>
      <w:r>
        <w:rPr>
          <w:rFonts w:ascii="宋体" w:hAnsi="宋体" w:eastAsia="宋体" w:cs="宋体"/>
          <w:b/>
          <w:bCs/>
          <w:color w:val="auto"/>
          <w:sz w:val="18"/>
          <w:szCs w:val="18"/>
        </w:rPr>
        <w:t>4）本期计提、收回或转回的坏账准备的情况</w:t>
      </w:r>
      <w:bookmarkEnd w:id="436"/>
    </w:p>
    <w:p w14:paraId="7E9D12B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6C846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05685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8B56E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161A1E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BD98F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21186E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DE41DC8">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BB6EF2">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05B037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5E7D0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09D12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30788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3AD32FC">
            <w:pPr>
              <w:rPr>
                <w:color w:val="auto"/>
              </w:rPr>
            </w:pPr>
          </w:p>
        </w:tc>
      </w:tr>
    </w:tbl>
    <w:p w14:paraId="7F7CFD2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其中本期坏账准备收回或转回金额重要的：</w:t>
      </w:r>
    </w:p>
    <w:p w14:paraId="51F8284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12B87B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3C0292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CCF0D2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E09F7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09F170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4E56F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4CEA19B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9A35A66">
      <w:pPr>
        <w:keepNext/>
        <w:keepLines/>
        <w:spacing w:before="300" w:after="300" w:line="280" w:lineRule="exact"/>
        <w:jc w:val="left"/>
        <w:outlineLvl w:val="4"/>
        <w:rPr>
          <w:rFonts w:ascii="宋体" w:hAnsi="宋体" w:eastAsia="宋体" w:cs="宋体"/>
          <w:b/>
          <w:bCs/>
          <w:color w:val="auto"/>
          <w:sz w:val="18"/>
          <w:szCs w:val="18"/>
        </w:rPr>
      </w:pPr>
      <w:bookmarkStart w:id="437" w:name="_Toc989413"/>
      <w:r>
        <w:rPr>
          <w:rFonts w:ascii="宋体" w:hAnsi="宋体" w:eastAsia="宋体" w:cs="宋体"/>
          <w:b/>
          <w:bCs/>
          <w:color w:val="auto"/>
          <w:sz w:val="18"/>
          <w:szCs w:val="18"/>
        </w:rPr>
        <w:t>5）本期实际核销的应收利息情况</w:t>
      </w:r>
      <w:bookmarkEnd w:id="437"/>
    </w:p>
    <w:p w14:paraId="77204B1A">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3566C6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86C129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54D55E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6764CD7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其中重要的应收利息核销情况</w:t>
      </w:r>
    </w:p>
    <w:p w14:paraId="01A22AF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63AF13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E6069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2CBF48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E6BC99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55356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BDF70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FE1A5D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3CD95C2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核销说明：</w:t>
      </w:r>
    </w:p>
    <w:p w14:paraId="6DCBBAC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0E3B06B1">
      <w:pPr>
        <w:keepNext/>
        <w:keepLines/>
        <w:spacing w:before="300" w:after="300" w:line="280" w:lineRule="exact"/>
        <w:jc w:val="left"/>
        <w:outlineLvl w:val="3"/>
        <w:rPr>
          <w:rFonts w:ascii="宋体" w:hAnsi="宋体" w:eastAsia="宋体" w:cs="宋体"/>
          <w:b/>
          <w:bCs/>
          <w:color w:val="auto"/>
          <w:sz w:val="18"/>
          <w:szCs w:val="18"/>
        </w:rPr>
      </w:pPr>
      <w:bookmarkStart w:id="438" w:name="_Toc989414"/>
      <w:r>
        <w:rPr>
          <w:rFonts w:ascii="宋体" w:hAnsi="宋体" w:eastAsia="宋体" w:cs="宋体"/>
          <w:b/>
          <w:bCs/>
          <w:color w:val="auto"/>
          <w:sz w:val="18"/>
          <w:szCs w:val="18"/>
        </w:rPr>
        <w:t>（2）应收股利</w:t>
      </w:r>
      <w:bookmarkEnd w:id="438"/>
    </w:p>
    <w:p w14:paraId="66166A58">
      <w:pPr>
        <w:keepNext/>
        <w:keepLines/>
        <w:spacing w:before="300" w:after="300" w:line="280" w:lineRule="exact"/>
        <w:jc w:val="left"/>
        <w:outlineLvl w:val="4"/>
        <w:rPr>
          <w:rFonts w:ascii="宋体" w:hAnsi="宋体" w:eastAsia="宋体" w:cs="宋体"/>
          <w:b/>
          <w:bCs/>
          <w:color w:val="auto"/>
          <w:sz w:val="18"/>
          <w:szCs w:val="18"/>
        </w:rPr>
      </w:pPr>
      <w:bookmarkStart w:id="439" w:name="_Toc989415"/>
      <w:r>
        <w:rPr>
          <w:rFonts w:ascii="宋体" w:hAnsi="宋体" w:eastAsia="宋体" w:cs="宋体"/>
          <w:b/>
          <w:bCs/>
          <w:color w:val="auto"/>
          <w:sz w:val="18"/>
          <w:szCs w:val="18"/>
        </w:rPr>
        <w:t>1）应收股利分类</w:t>
      </w:r>
      <w:bookmarkEnd w:id="439"/>
    </w:p>
    <w:p w14:paraId="747E15F3">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07A17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DB835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项目(或被投资单位)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E189B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82213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bl>
    <w:p w14:paraId="51D275A1">
      <w:pPr>
        <w:keepNext/>
        <w:keepLines/>
        <w:spacing w:before="300" w:after="300" w:line="280" w:lineRule="exact"/>
        <w:jc w:val="left"/>
        <w:outlineLvl w:val="4"/>
        <w:rPr>
          <w:rFonts w:ascii="宋体" w:hAnsi="宋体" w:eastAsia="宋体" w:cs="宋体"/>
          <w:b/>
          <w:bCs/>
          <w:color w:val="auto"/>
          <w:sz w:val="18"/>
          <w:szCs w:val="18"/>
        </w:rPr>
      </w:pPr>
      <w:bookmarkStart w:id="440" w:name="_Toc989416"/>
      <w:r>
        <w:rPr>
          <w:rFonts w:ascii="宋体" w:hAnsi="宋体" w:eastAsia="宋体" w:cs="宋体"/>
          <w:b/>
          <w:bCs/>
          <w:color w:val="auto"/>
          <w:sz w:val="18"/>
          <w:szCs w:val="18"/>
        </w:rPr>
        <w:t>2）重要的账龄超过1年的应收股利</w:t>
      </w:r>
      <w:bookmarkEnd w:id="440"/>
    </w:p>
    <w:p w14:paraId="4A6843B5">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0D2EA4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83B25B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项目(或被投资单位)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46510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97A578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账龄</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97CCE5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未收回的原因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634356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是否发生减值及其判断依据</w:t>
            </w:r>
          </w:p>
        </w:tc>
      </w:tr>
    </w:tbl>
    <w:p w14:paraId="1458538F">
      <w:pPr>
        <w:keepNext/>
        <w:keepLines/>
        <w:spacing w:before="300" w:after="300" w:line="280" w:lineRule="exact"/>
        <w:jc w:val="left"/>
        <w:outlineLvl w:val="4"/>
        <w:rPr>
          <w:rFonts w:ascii="宋体" w:hAnsi="宋体" w:eastAsia="宋体" w:cs="宋体"/>
          <w:b/>
          <w:bCs/>
          <w:color w:val="auto"/>
          <w:sz w:val="18"/>
          <w:szCs w:val="18"/>
        </w:rPr>
      </w:pPr>
      <w:bookmarkStart w:id="441" w:name="_Toc989417"/>
      <w:r>
        <w:rPr>
          <w:rFonts w:ascii="宋体" w:hAnsi="宋体" w:eastAsia="宋体" w:cs="宋体"/>
          <w:b/>
          <w:bCs/>
          <w:color w:val="auto"/>
          <w:sz w:val="18"/>
          <w:szCs w:val="18"/>
        </w:rPr>
        <w:t>3）按坏账计提方法分类披露</w:t>
      </w:r>
      <w:bookmarkEnd w:id="441"/>
    </w:p>
    <w:p w14:paraId="14EDC57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2B794D29">
      <w:pPr>
        <w:keepNext/>
        <w:keepLines/>
        <w:spacing w:before="300" w:after="300" w:line="280" w:lineRule="exact"/>
        <w:jc w:val="left"/>
        <w:outlineLvl w:val="4"/>
        <w:rPr>
          <w:rFonts w:ascii="宋体" w:hAnsi="宋体" w:eastAsia="宋体" w:cs="宋体"/>
          <w:b/>
          <w:bCs/>
          <w:color w:val="auto"/>
          <w:sz w:val="21"/>
          <w:szCs w:val="21"/>
        </w:rPr>
      </w:pPr>
      <w:bookmarkStart w:id="442" w:name="_Toc989418"/>
      <w:r>
        <w:rPr>
          <w:rFonts w:ascii="宋体" w:hAnsi="宋体" w:eastAsia="宋体" w:cs="宋体"/>
          <w:b/>
          <w:bCs/>
          <w:color w:val="auto"/>
          <w:sz w:val="21"/>
          <w:szCs w:val="21"/>
        </w:rPr>
        <w:t>4）本期计提、收回或转回的坏账准备的情况</w:t>
      </w:r>
      <w:bookmarkEnd w:id="442"/>
    </w:p>
    <w:p w14:paraId="2863CBD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088C4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4D543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C75140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5B8E0F3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59DA9D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36ABE4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406B1AE">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6F78324">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DBC55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200EF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BEEC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6752CB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BB6BBF7">
            <w:pPr>
              <w:rPr>
                <w:color w:val="auto"/>
              </w:rPr>
            </w:pPr>
          </w:p>
        </w:tc>
      </w:tr>
    </w:tbl>
    <w:p w14:paraId="03F7457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其中本期坏账准备收回或转回金额重要的：</w:t>
      </w:r>
    </w:p>
    <w:p w14:paraId="4AF54DA9">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1235E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E0C43F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3FF742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B2DE6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2229A2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C2F5D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58E2AF7B">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759DEC6D">
      <w:pPr>
        <w:keepNext/>
        <w:keepLines/>
        <w:spacing w:before="300" w:after="300" w:line="280" w:lineRule="exact"/>
        <w:jc w:val="left"/>
        <w:outlineLvl w:val="4"/>
        <w:rPr>
          <w:rFonts w:ascii="宋体" w:hAnsi="宋体" w:eastAsia="宋体" w:cs="宋体"/>
          <w:b/>
          <w:bCs/>
          <w:color w:val="auto"/>
          <w:sz w:val="21"/>
          <w:szCs w:val="21"/>
        </w:rPr>
      </w:pPr>
      <w:bookmarkStart w:id="443" w:name="_Toc989419"/>
      <w:r>
        <w:rPr>
          <w:rFonts w:ascii="宋体" w:hAnsi="宋体" w:eastAsia="宋体" w:cs="宋体"/>
          <w:b/>
          <w:bCs/>
          <w:color w:val="auto"/>
          <w:sz w:val="21"/>
          <w:szCs w:val="21"/>
        </w:rPr>
        <w:t>5）本期实际核销的应收股利情况</w:t>
      </w:r>
      <w:bookmarkEnd w:id="443"/>
    </w:p>
    <w:p w14:paraId="18FD854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34B9D5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B98DBC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91999C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4669A8C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其中重要的应收股利核销情况</w:t>
      </w:r>
    </w:p>
    <w:p w14:paraId="6300F178">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444E29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C2364D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10D1EE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A0B634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8698B2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20074E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8D7A4A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474A3E2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核销说明：</w:t>
      </w:r>
    </w:p>
    <w:p w14:paraId="30776EA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800D061">
      <w:pPr>
        <w:keepNext/>
        <w:keepLines/>
        <w:spacing w:before="300" w:after="300" w:line="280" w:lineRule="exact"/>
        <w:jc w:val="left"/>
        <w:outlineLvl w:val="3"/>
        <w:rPr>
          <w:rFonts w:ascii="宋体" w:hAnsi="宋体" w:eastAsia="宋体" w:cs="宋体"/>
          <w:b/>
          <w:bCs/>
          <w:color w:val="auto"/>
          <w:sz w:val="18"/>
          <w:szCs w:val="18"/>
        </w:rPr>
      </w:pPr>
      <w:bookmarkStart w:id="444" w:name="_Toc989420"/>
      <w:r>
        <w:rPr>
          <w:rFonts w:ascii="宋体" w:hAnsi="宋体" w:eastAsia="宋体" w:cs="宋体"/>
          <w:b/>
          <w:bCs/>
          <w:color w:val="auto"/>
          <w:sz w:val="18"/>
          <w:szCs w:val="18"/>
        </w:rPr>
        <w:t>（3）其他应收款</w:t>
      </w:r>
      <w:bookmarkEnd w:id="444"/>
    </w:p>
    <w:p w14:paraId="65EE5F6C">
      <w:pPr>
        <w:keepNext/>
        <w:keepLines/>
        <w:spacing w:before="300" w:after="300" w:line="280" w:lineRule="exact"/>
        <w:jc w:val="left"/>
        <w:outlineLvl w:val="4"/>
        <w:rPr>
          <w:rFonts w:ascii="宋体" w:hAnsi="宋体" w:eastAsia="宋体" w:cs="宋体"/>
          <w:b/>
          <w:bCs/>
          <w:color w:val="auto"/>
          <w:sz w:val="18"/>
          <w:szCs w:val="18"/>
        </w:rPr>
      </w:pPr>
      <w:bookmarkStart w:id="445" w:name="_Toc989421"/>
      <w:r>
        <w:rPr>
          <w:rFonts w:ascii="宋体" w:hAnsi="宋体" w:eastAsia="宋体" w:cs="宋体"/>
          <w:b/>
          <w:bCs/>
          <w:color w:val="auto"/>
          <w:sz w:val="18"/>
          <w:szCs w:val="18"/>
        </w:rPr>
        <w:t>1）其他应收款按款项性质分类情况</w:t>
      </w:r>
      <w:bookmarkEnd w:id="445"/>
    </w:p>
    <w:p w14:paraId="68168A4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6A57A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099B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款项性质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E4569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53585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期初账面余额</w:t>
            </w:r>
          </w:p>
        </w:tc>
      </w:tr>
      <w:tr w14:paraId="45DEE6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B97FC9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保证金、押金及员工备用金</w:t>
            </w:r>
          </w:p>
        </w:tc>
        <w:tc>
          <w:tcPr>
            <w:tcW w:w="3213" w:type="dxa"/>
            <w:tcBorders>
              <w:top w:val="single" w:color="auto" w:sz="2" w:space="0"/>
              <w:left w:val="single" w:color="auto" w:sz="2" w:space="0"/>
              <w:bottom w:val="single" w:color="auto" w:sz="2" w:space="0"/>
              <w:right w:val="single" w:color="auto" w:sz="2" w:space="0"/>
            </w:tcBorders>
            <w:vAlign w:val="center"/>
          </w:tcPr>
          <w:p w14:paraId="55CBBAB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518,950.00</w:t>
            </w:r>
          </w:p>
        </w:tc>
        <w:tc>
          <w:tcPr>
            <w:tcW w:w="3213" w:type="dxa"/>
            <w:tcBorders>
              <w:top w:val="single" w:color="auto" w:sz="2" w:space="0"/>
              <w:left w:val="single" w:color="auto" w:sz="2" w:space="0"/>
              <w:bottom w:val="single" w:color="auto" w:sz="2" w:space="0"/>
              <w:right w:val="single" w:color="auto" w:sz="2" w:space="0"/>
            </w:tcBorders>
            <w:vAlign w:val="center"/>
          </w:tcPr>
          <w:p w14:paraId="79EF60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3,537,901.31</w:t>
            </w:r>
          </w:p>
        </w:tc>
      </w:tr>
      <w:tr w14:paraId="2F6ED3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5CFE8D6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并表关联方往来</w:t>
            </w:r>
          </w:p>
        </w:tc>
        <w:tc>
          <w:tcPr>
            <w:tcW w:w="3213" w:type="dxa"/>
            <w:tcBorders>
              <w:top w:val="single" w:color="auto" w:sz="2" w:space="0"/>
              <w:left w:val="single" w:color="auto" w:sz="2" w:space="0"/>
              <w:bottom w:val="single" w:color="auto" w:sz="2" w:space="0"/>
              <w:right w:val="single" w:color="auto" w:sz="2" w:space="0"/>
            </w:tcBorders>
            <w:vAlign w:val="center"/>
          </w:tcPr>
          <w:p w14:paraId="5788CB0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39,346,451.28</w:t>
            </w:r>
          </w:p>
        </w:tc>
        <w:tc>
          <w:tcPr>
            <w:tcW w:w="3213" w:type="dxa"/>
            <w:tcBorders>
              <w:top w:val="single" w:color="auto" w:sz="2" w:space="0"/>
              <w:left w:val="single" w:color="auto" w:sz="2" w:space="0"/>
              <w:bottom w:val="single" w:color="auto" w:sz="2" w:space="0"/>
              <w:right w:val="single" w:color="auto" w:sz="2" w:space="0"/>
            </w:tcBorders>
            <w:vAlign w:val="center"/>
          </w:tcPr>
          <w:p w14:paraId="7D4FF2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38,118,766.67</w:t>
            </w:r>
          </w:p>
        </w:tc>
      </w:tr>
      <w:tr w14:paraId="3CC9BF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FF57F0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1C5664B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357,266.04</w:t>
            </w:r>
          </w:p>
        </w:tc>
        <w:tc>
          <w:tcPr>
            <w:tcW w:w="3213" w:type="dxa"/>
            <w:tcBorders>
              <w:top w:val="single" w:color="auto" w:sz="2" w:space="0"/>
              <w:left w:val="single" w:color="auto" w:sz="2" w:space="0"/>
              <w:bottom w:val="single" w:color="auto" w:sz="2" w:space="0"/>
              <w:right w:val="single" w:color="auto" w:sz="2" w:space="0"/>
            </w:tcBorders>
            <w:vAlign w:val="center"/>
          </w:tcPr>
          <w:p w14:paraId="4BA07B4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354,038.61</w:t>
            </w:r>
          </w:p>
        </w:tc>
      </w:tr>
      <w:tr w14:paraId="2502E3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238A9B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减：坏账准备</w:t>
            </w:r>
          </w:p>
        </w:tc>
        <w:tc>
          <w:tcPr>
            <w:tcW w:w="3213" w:type="dxa"/>
            <w:tcBorders>
              <w:top w:val="single" w:color="auto" w:sz="2" w:space="0"/>
              <w:left w:val="single" w:color="auto" w:sz="2" w:space="0"/>
              <w:bottom w:val="single" w:color="auto" w:sz="2" w:space="0"/>
              <w:right w:val="single" w:color="auto" w:sz="2" w:space="0"/>
            </w:tcBorders>
            <w:vAlign w:val="center"/>
          </w:tcPr>
          <w:p w14:paraId="394742A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-17,863.30</w:t>
            </w:r>
          </w:p>
        </w:tc>
        <w:tc>
          <w:tcPr>
            <w:tcW w:w="3213" w:type="dxa"/>
            <w:tcBorders>
              <w:top w:val="single" w:color="auto" w:sz="2" w:space="0"/>
              <w:left w:val="single" w:color="auto" w:sz="2" w:space="0"/>
              <w:bottom w:val="single" w:color="auto" w:sz="2" w:space="0"/>
              <w:right w:val="single" w:color="auto" w:sz="2" w:space="0"/>
            </w:tcBorders>
            <w:vAlign w:val="center"/>
          </w:tcPr>
          <w:p w14:paraId="49B38E1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-17,701.93</w:t>
            </w:r>
          </w:p>
        </w:tc>
      </w:tr>
      <w:tr w14:paraId="07936F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D6A9E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0D174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40,204,804.02</w:t>
            </w:r>
          </w:p>
        </w:tc>
        <w:tc>
          <w:tcPr>
            <w:tcW w:w="3213" w:type="dxa"/>
            <w:tcBorders>
              <w:top w:val="single" w:color="auto" w:sz="2" w:space="0"/>
              <w:left w:val="single" w:color="auto" w:sz="2" w:space="0"/>
              <w:bottom w:val="single" w:color="auto" w:sz="2" w:space="0"/>
              <w:right w:val="single" w:color="auto" w:sz="2" w:space="0"/>
            </w:tcBorders>
            <w:vAlign w:val="center"/>
          </w:tcPr>
          <w:p w14:paraId="2FE6B4F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41,993,004.66</w:t>
            </w:r>
          </w:p>
        </w:tc>
      </w:tr>
    </w:tbl>
    <w:p w14:paraId="7F74BA0E">
      <w:pPr>
        <w:keepNext/>
        <w:keepLines/>
        <w:spacing w:before="300" w:after="300" w:line="280" w:lineRule="exact"/>
        <w:jc w:val="left"/>
        <w:outlineLvl w:val="4"/>
        <w:rPr>
          <w:rFonts w:ascii="宋体" w:hAnsi="宋体" w:eastAsia="宋体" w:cs="宋体"/>
          <w:b/>
          <w:bCs/>
          <w:color w:val="auto"/>
          <w:sz w:val="18"/>
          <w:szCs w:val="18"/>
        </w:rPr>
      </w:pPr>
      <w:bookmarkStart w:id="446" w:name="_Toc989422"/>
      <w:r>
        <w:rPr>
          <w:rFonts w:ascii="宋体" w:hAnsi="宋体" w:eastAsia="宋体" w:cs="宋体"/>
          <w:b/>
          <w:bCs/>
          <w:color w:val="auto"/>
          <w:sz w:val="18"/>
          <w:szCs w:val="18"/>
        </w:rPr>
        <w:t>2）按账龄披露</w:t>
      </w:r>
      <w:bookmarkEnd w:id="446"/>
    </w:p>
    <w:p w14:paraId="3712E437">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91937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0E53C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0BF79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EF757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期初账面余额</w:t>
            </w:r>
          </w:p>
        </w:tc>
      </w:tr>
      <w:tr w14:paraId="34342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E0A06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14AA5B4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39,717,517.32</w:t>
            </w:r>
          </w:p>
        </w:tc>
        <w:tc>
          <w:tcPr>
            <w:tcW w:w="3213" w:type="dxa"/>
            <w:tcBorders>
              <w:top w:val="single" w:color="auto" w:sz="2" w:space="0"/>
              <w:left w:val="single" w:color="auto" w:sz="2" w:space="0"/>
              <w:bottom w:val="single" w:color="auto" w:sz="2" w:space="0"/>
              <w:right w:val="single" w:color="auto" w:sz="2" w:space="0"/>
            </w:tcBorders>
            <w:vAlign w:val="center"/>
          </w:tcPr>
          <w:p w14:paraId="478ECB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41,503,660.59</w:t>
            </w:r>
          </w:p>
        </w:tc>
      </w:tr>
      <w:tr w14:paraId="5CF379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0076D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69C472A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17,000.00</w:t>
            </w:r>
          </w:p>
        </w:tc>
        <w:tc>
          <w:tcPr>
            <w:tcW w:w="3213" w:type="dxa"/>
            <w:tcBorders>
              <w:top w:val="single" w:color="auto" w:sz="2" w:space="0"/>
              <w:left w:val="single" w:color="auto" w:sz="2" w:space="0"/>
              <w:bottom w:val="single" w:color="auto" w:sz="2" w:space="0"/>
              <w:right w:val="single" w:color="auto" w:sz="2" w:space="0"/>
            </w:tcBorders>
            <w:vAlign w:val="center"/>
          </w:tcPr>
          <w:p w14:paraId="388E6B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348,896.00</w:t>
            </w:r>
          </w:p>
        </w:tc>
      </w:tr>
      <w:tr w14:paraId="201CEF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C779D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44ACC55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338,000.00</w:t>
            </w:r>
          </w:p>
        </w:tc>
        <w:tc>
          <w:tcPr>
            <w:tcW w:w="3213" w:type="dxa"/>
            <w:tcBorders>
              <w:top w:val="single" w:color="auto" w:sz="2" w:space="0"/>
              <w:left w:val="single" w:color="auto" w:sz="2" w:space="0"/>
              <w:bottom w:val="single" w:color="auto" w:sz="2" w:space="0"/>
              <w:right w:val="single" w:color="auto" w:sz="2" w:space="0"/>
            </w:tcBorders>
            <w:vAlign w:val="center"/>
          </w:tcPr>
          <w:p w14:paraId="336451C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28,000.00</w:t>
            </w:r>
          </w:p>
        </w:tc>
      </w:tr>
      <w:tr w14:paraId="402546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31E0A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2E03C30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150,150.00</w:t>
            </w:r>
          </w:p>
        </w:tc>
        <w:tc>
          <w:tcPr>
            <w:tcW w:w="3213" w:type="dxa"/>
            <w:tcBorders>
              <w:top w:val="single" w:color="auto" w:sz="2" w:space="0"/>
              <w:left w:val="single" w:color="auto" w:sz="2" w:space="0"/>
              <w:bottom w:val="single" w:color="auto" w:sz="2" w:space="0"/>
              <w:right w:val="single" w:color="auto" w:sz="2" w:space="0"/>
            </w:tcBorders>
            <w:vAlign w:val="center"/>
          </w:tcPr>
          <w:p w14:paraId="5616E3A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130,150.00</w:t>
            </w:r>
          </w:p>
        </w:tc>
      </w:tr>
      <w:tr w14:paraId="18E082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28ACCF">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4B4925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w:t>
            </w:r>
          </w:p>
        </w:tc>
        <w:tc>
          <w:tcPr>
            <w:tcW w:w="3213" w:type="dxa"/>
            <w:tcBorders>
              <w:top w:val="single" w:color="auto" w:sz="2" w:space="0"/>
              <w:left w:val="single" w:color="auto" w:sz="2" w:space="0"/>
              <w:bottom w:val="single" w:color="auto" w:sz="2" w:space="0"/>
              <w:right w:val="single" w:color="auto" w:sz="2" w:space="0"/>
            </w:tcBorders>
            <w:vAlign w:val="center"/>
          </w:tcPr>
          <w:p w14:paraId="75D4D3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30,000.00</w:t>
            </w:r>
          </w:p>
        </w:tc>
      </w:tr>
      <w:tr w14:paraId="050AA9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6A1A5F">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1C469C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3213" w:type="dxa"/>
            <w:tcBorders>
              <w:top w:val="single" w:color="auto" w:sz="2" w:space="0"/>
              <w:left w:val="single" w:color="auto" w:sz="2" w:space="0"/>
              <w:bottom w:val="single" w:color="auto" w:sz="2" w:space="0"/>
              <w:right w:val="single" w:color="auto" w:sz="2" w:space="0"/>
            </w:tcBorders>
            <w:vAlign w:val="center"/>
          </w:tcPr>
          <w:p w14:paraId="1219CD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94,650.00</w:t>
            </w:r>
          </w:p>
        </w:tc>
      </w:tr>
      <w:tr w14:paraId="218B7A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E5AC04">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0B55D77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100,150.00</w:t>
            </w:r>
          </w:p>
        </w:tc>
        <w:tc>
          <w:tcPr>
            <w:tcW w:w="3213" w:type="dxa"/>
            <w:tcBorders>
              <w:top w:val="single" w:color="auto" w:sz="2" w:space="0"/>
              <w:left w:val="single" w:color="auto" w:sz="2" w:space="0"/>
              <w:bottom w:val="single" w:color="auto" w:sz="2" w:space="0"/>
              <w:right w:val="single" w:color="auto" w:sz="2" w:space="0"/>
            </w:tcBorders>
            <w:vAlign w:val="center"/>
          </w:tcPr>
          <w:p w14:paraId="74E26C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5,500.00</w:t>
            </w:r>
          </w:p>
        </w:tc>
      </w:tr>
      <w:tr w14:paraId="089D13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A3FBD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415565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40,222,667.32</w:t>
            </w:r>
          </w:p>
        </w:tc>
        <w:tc>
          <w:tcPr>
            <w:tcW w:w="3213" w:type="dxa"/>
            <w:tcBorders>
              <w:top w:val="single" w:color="auto" w:sz="2" w:space="0"/>
              <w:left w:val="single" w:color="auto" w:sz="2" w:space="0"/>
              <w:bottom w:val="single" w:color="auto" w:sz="2" w:space="0"/>
              <w:right w:val="single" w:color="auto" w:sz="2" w:space="0"/>
            </w:tcBorders>
            <w:vAlign w:val="center"/>
          </w:tcPr>
          <w:p w14:paraId="0DB3DE3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42,010,706.59</w:t>
            </w:r>
          </w:p>
        </w:tc>
      </w:tr>
    </w:tbl>
    <w:p w14:paraId="159EF901">
      <w:pPr>
        <w:keepNext/>
        <w:keepLines/>
        <w:spacing w:before="300" w:after="300" w:line="280" w:lineRule="exact"/>
        <w:jc w:val="left"/>
        <w:outlineLvl w:val="4"/>
        <w:rPr>
          <w:rFonts w:ascii="宋体" w:hAnsi="宋体" w:eastAsia="宋体" w:cs="宋体"/>
          <w:b/>
          <w:bCs/>
          <w:color w:val="auto"/>
          <w:sz w:val="18"/>
          <w:szCs w:val="18"/>
        </w:rPr>
      </w:pPr>
      <w:bookmarkStart w:id="447" w:name="_Toc989423"/>
      <w:r>
        <w:rPr>
          <w:rFonts w:ascii="宋体" w:hAnsi="宋体" w:eastAsia="宋体" w:cs="宋体"/>
          <w:b/>
          <w:bCs/>
          <w:color w:val="auto"/>
          <w:sz w:val="18"/>
          <w:szCs w:val="18"/>
        </w:rPr>
        <w:t>3）按坏账计提方法分类披露</w:t>
      </w:r>
      <w:bookmarkEnd w:id="447"/>
    </w:p>
    <w:p w14:paraId="7F43E3D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6"/>
        <w:gridCol w:w="876"/>
        <w:gridCol w:w="876"/>
        <w:gridCol w:w="876"/>
        <w:gridCol w:w="876"/>
        <w:gridCol w:w="876"/>
        <w:gridCol w:w="876"/>
        <w:gridCol w:w="876"/>
        <w:gridCol w:w="876"/>
        <w:gridCol w:w="876"/>
        <w:gridCol w:w="876"/>
      </w:tblGrid>
      <w:tr w14:paraId="62D992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CC990A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76D543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B6B478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45476D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4BAA118">
            <w:pPr>
              <w:rPr>
                <w:color w:val="auto"/>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08D20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316F2A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0C7BF2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858B51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241853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B48834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0882A3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49C217">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9063D9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2EE1E4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DD17CF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8B4B21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FA536BD">
            <w:pPr>
              <w:rPr>
                <w:color w:val="auto"/>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10DF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01723D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F370AA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070DA9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8D478B8">
            <w:pPr>
              <w:rPr>
                <w:color w:val="auto"/>
              </w:rPr>
            </w:pPr>
          </w:p>
        </w:tc>
      </w:tr>
      <w:tr w14:paraId="3FD810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785D452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r>
      <w:tr w14:paraId="783933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D21583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5268130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40,222,667.32</w:t>
            </w:r>
          </w:p>
        </w:tc>
        <w:tc>
          <w:tcPr>
            <w:tcW w:w="876" w:type="dxa"/>
            <w:tcBorders>
              <w:top w:val="single" w:color="auto" w:sz="2" w:space="0"/>
              <w:left w:val="single" w:color="auto" w:sz="2" w:space="0"/>
              <w:bottom w:val="single" w:color="auto" w:sz="2" w:space="0"/>
              <w:right w:val="single" w:color="auto" w:sz="2" w:space="0"/>
            </w:tcBorders>
            <w:vAlign w:val="center"/>
          </w:tcPr>
          <w:p w14:paraId="75D8F9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AFD3A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17,863.30</w:t>
            </w:r>
          </w:p>
        </w:tc>
        <w:tc>
          <w:tcPr>
            <w:tcW w:w="876" w:type="dxa"/>
            <w:tcBorders>
              <w:top w:val="single" w:color="auto" w:sz="2" w:space="0"/>
              <w:left w:val="single" w:color="auto" w:sz="2" w:space="0"/>
              <w:bottom w:val="single" w:color="auto" w:sz="2" w:space="0"/>
              <w:right w:val="single" w:color="auto" w:sz="2" w:space="0"/>
            </w:tcBorders>
            <w:vAlign w:val="center"/>
          </w:tcPr>
          <w:p w14:paraId="58FC0E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5557DB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40,204,804.02</w:t>
            </w:r>
          </w:p>
        </w:tc>
        <w:tc>
          <w:tcPr>
            <w:tcW w:w="876" w:type="dxa"/>
            <w:tcBorders>
              <w:top w:val="single" w:color="auto" w:sz="2" w:space="0"/>
              <w:left w:val="single" w:color="auto" w:sz="2" w:space="0"/>
              <w:bottom w:val="single" w:color="auto" w:sz="2" w:space="0"/>
              <w:right w:val="single" w:color="auto" w:sz="2" w:space="0"/>
            </w:tcBorders>
            <w:vAlign w:val="center"/>
          </w:tcPr>
          <w:p w14:paraId="22DC4E2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42,010,706.59</w:t>
            </w:r>
          </w:p>
        </w:tc>
        <w:tc>
          <w:tcPr>
            <w:tcW w:w="876" w:type="dxa"/>
            <w:tcBorders>
              <w:top w:val="single" w:color="auto" w:sz="2" w:space="0"/>
              <w:left w:val="single" w:color="auto" w:sz="2" w:space="0"/>
              <w:bottom w:val="single" w:color="auto" w:sz="2" w:space="0"/>
              <w:right w:val="single" w:color="auto" w:sz="2" w:space="0"/>
            </w:tcBorders>
            <w:vAlign w:val="center"/>
          </w:tcPr>
          <w:p w14:paraId="380B445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B19F67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17,701.93</w:t>
            </w:r>
          </w:p>
        </w:tc>
        <w:tc>
          <w:tcPr>
            <w:tcW w:w="876" w:type="dxa"/>
            <w:tcBorders>
              <w:top w:val="single" w:color="auto" w:sz="2" w:space="0"/>
              <w:left w:val="single" w:color="auto" w:sz="2" w:space="0"/>
              <w:bottom w:val="single" w:color="auto" w:sz="2" w:space="0"/>
              <w:right w:val="single" w:color="auto" w:sz="2" w:space="0"/>
            </w:tcBorders>
            <w:vAlign w:val="center"/>
          </w:tcPr>
          <w:p w14:paraId="2995FA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0.04%</w:t>
            </w:r>
          </w:p>
        </w:tc>
        <w:tc>
          <w:tcPr>
            <w:tcW w:w="876" w:type="dxa"/>
            <w:tcBorders>
              <w:top w:val="single" w:color="auto" w:sz="2" w:space="0"/>
              <w:left w:val="single" w:color="auto" w:sz="2" w:space="0"/>
              <w:bottom w:val="single" w:color="auto" w:sz="2" w:space="0"/>
              <w:right w:val="single" w:color="auto" w:sz="2" w:space="0"/>
            </w:tcBorders>
            <w:vAlign w:val="center"/>
          </w:tcPr>
          <w:p w14:paraId="1504F1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41,993,004.66</w:t>
            </w:r>
          </w:p>
        </w:tc>
      </w:tr>
      <w:tr w14:paraId="75CA0D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5FDC76B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r>
      <w:tr w14:paraId="6B5A22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5289F93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信用组合</w:t>
            </w:r>
          </w:p>
        </w:tc>
        <w:tc>
          <w:tcPr>
            <w:tcW w:w="876" w:type="dxa"/>
            <w:tcBorders>
              <w:top w:val="single" w:color="auto" w:sz="2" w:space="0"/>
              <w:left w:val="single" w:color="auto" w:sz="2" w:space="0"/>
              <w:bottom w:val="single" w:color="auto" w:sz="2" w:space="0"/>
              <w:right w:val="single" w:color="auto" w:sz="2" w:space="0"/>
            </w:tcBorders>
            <w:vAlign w:val="center"/>
          </w:tcPr>
          <w:p w14:paraId="6D8E84C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357,266.04</w:t>
            </w:r>
          </w:p>
        </w:tc>
        <w:tc>
          <w:tcPr>
            <w:tcW w:w="876" w:type="dxa"/>
            <w:tcBorders>
              <w:top w:val="single" w:color="auto" w:sz="2" w:space="0"/>
              <w:left w:val="single" w:color="auto" w:sz="2" w:space="0"/>
              <w:bottom w:val="single" w:color="auto" w:sz="2" w:space="0"/>
              <w:right w:val="single" w:color="auto" w:sz="2" w:space="0"/>
            </w:tcBorders>
            <w:vAlign w:val="center"/>
          </w:tcPr>
          <w:p w14:paraId="0CDC5B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0.89%</w:t>
            </w:r>
          </w:p>
        </w:tc>
        <w:tc>
          <w:tcPr>
            <w:tcW w:w="876" w:type="dxa"/>
            <w:tcBorders>
              <w:top w:val="single" w:color="auto" w:sz="2" w:space="0"/>
              <w:left w:val="single" w:color="auto" w:sz="2" w:space="0"/>
              <w:bottom w:val="single" w:color="auto" w:sz="2" w:space="0"/>
              <w:right w:val="single" w:color="auto" w:sz="2" w:space="0"/>
            </w:tcBorders>
            <w:vAlign w:val="center"/>
          </w:tcPr>
          <w:p w14:paraId="4ACAECA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17,863.30</w:t>
            </w:r>
          </w:p>
        </w:tc>
        <w:tc>
          <w:tcPr>
            <w:tcW w:w="876" w:type="dxa"/>
            <w:tcBorders>
              <w:top w:val="single" w:color="auto" w:sz="2" w:space="0"/>
              <w:left w:val="single" w:color="auto" w:sz="2" w:space="0"/>
              <w:bottom w:val="single" w:color="auto" w:sz="2" w:space="0"/>
              <w:right w:val="single" w:color="auto" w:sz="2" w:space="0"/>
            </w:tcBorders>
            <w:vAlign w:val="center"/>
          </w:tcPr>
          <w:p w14:paraId="7F5402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EF1657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339,402.74</w:t>
            </w:r>
          </w:p>
        </w:tc>
        <w:tc>
          <w:tcPr>
            <w:tcW w:w="876" w:type="dxa"/>
            <w:tcBorders>
              <w:top w:val="single" w:color="auto" w:sz="2" w:space="0"/>
              <w:left w:val="single" w:color="auto" w:sz="2" w:space="0"/>
              <w:bottom w:val="single" w:color="auto" w:sz="2" w:space="0"/>
              <w:right w:val="single" w:color="auto" w:sz="2" w:space="0"/>
            </w:tcBorders>
            <w:vAlign w:val="center"/>
          </w:tcPr>
          <w:p w14:paraId="29B3CD0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354,038.61</w:t>
            </w:r>
          </w:p>
        </w:tc>
        <w:tc>
          <w:tcPr>
            <w:tcW w:w="876" w:type="dxa"/>
            <w:tcBorders>
              <w:top w:val="single" w:color="auto" w:sz="2" w:space="0"/>
              <w:left w:val="single" w:color="auto" w:sz="2" w:space="0"/>
              <w:bottom w:val="single" w:color="auto" w:sz="2" w:space="0"/>
              <w:right w:val="single" w:color="auto" w:sz="2" w:space="0"/>
            </w:tcBorders>
            <w:vAlign w:val="center"/>
          </w:tcPr>
          <w:p w14:paraId="366E5AE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0.84%</w:t>
            </w:r>
          </w:p>
        </w:tc>
        <w:tc>
          <w:tcPr>
            <w:tcW w:w="876" w:type="dxa"/>
            <w:tcBorders>
              <w:top w:val="single" w:color="auto" w:sz="2" w:space="0"/>
              <w:left w:val="single" w:color="auto" w:sz="2" w:space="0"/>
              <w:bottom w:val="single" w:color="auto" w:sz="2" w:space="0"/>
              <w:right w:val="single" w:color="auto" w:sz="2" w:space="0"/>
            </w:tcBorders>
            <w:vAlign w:val="center"/>
          </w:tcPr>
          <w:p w14:paraId="42D7D5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17,701.93</w:t>
            </w:r>
          </w:p>
        </w:tc>
        <w:tc>
          <w:tcPr>
            <w:tcW w:w="876" w:type="dxa"/>
            <w:tcBorders>
              <w:top w:val="single" w:color="auto" w:sz="2" w:space="0"/>
              <w:left w:val="single" w:color="auto" w:sz="2" w:space="0"/>
              <w:bottom w:val="single" w:color="auto" w:sz="2" w:space="0"/>
              <w:right w:val="single" w:color="auto" w:sz="2" w:space="0"/>
            </w:tcBorders>
            <w:vAlign w:val="center"/>
          </w:tcPr>
          <w:p w14:paraId="7EDFEB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6AAD808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336,336.68</w:t>
            </w:r>
          </w:p>
        </w:tc>
      </w:tr>
      <w:tr w14:paraId="5CB4EC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268A68A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     押金、保证金、员工备用金</w:t>
            </w:r>
          </w:p>
        </w:tc>
        <w:tc>
          <w:tcPr>
            <w:tcW w:w="876" w:type="dxa"/>
            <w:tcBorders>
              <w:top w:val="single" w:color="auto" w:sz="2" w:space="0"/>
              <w:left w:val="single" w:color="auto" w:sz="2" w:space="0"/>
              <w:bottom w:val="single" w:color="auto" w:sz="2" w:space="0"/>
              <w:right w:val="single" w:color="auto" w:sz="2" w:space="0"/>
            </w:tcBorders>
            <w:vAlign w:val="center"/>
          </w:tcPr>
          <w:p w14:paraId="23415D1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518,950.00</w:t>
            </w:r>
          </w:p>
        </w:tc>
        <w:tc>
          <w:tcPr>
            <w:tcW w:w="876" w:type="dxa"/>
            <w:tcBorders>
              <w:top w:val="single" w:color="auto" w:sz="2" w:space="0"/>
              <w:left w:val="single" w:color="auto" w:sz="2" w:space="0"/>
              <w:bottom w:val="single" w:color="auto" w:sz="2" w:space="0"/>
              <w:right w:val="single" w:color="auto" w:sz="2" w:space="0"/>
            </w:tcBorders>
            <w:vAlign w:val="center"/>
          </w:tcPr>
          <w:p w14:paraId="204F706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1.29%</w:t>
            </w:r>
          </w:p>
        </w:tc>
        <w:tc>
          <w:tcPr>
            <w:tcW w:w="876" w:type="dxa"/>
            <w:tcBorders>
              <w:top w:val="single" w:color="auto" w:sz="2" w:space="0"/>
              <w:left w:val="single" w:color="auto" w:sz="2" w:space="0"/>
              <w:bottom w:val="single" w:color="auto" w:sz="2" w:space="0"/>
              <w:right w:val="single" w:color="auto" w:sz="2" w:space="0"/>
            </w:tcBorders>
            <w:vAlign w:val="center"/>
          </w:tcPr>
          <w:p w14:paraId="6FE54149">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475CF21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40DFF9A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518,950.00</w:t>
            </w:r>
          </w:p>
        </w:tc>
        <w:tc>
          <w:tcPr>
            <w:tcW w:w="876" w:type="dxa"/>
            <w:tcBorders>
              <w:top w:val="single" w:color="auto" w:sz="2" w:space="0"/>
              <w:left w:val="single" w:color="auto" w:sz="2" w:space="0"/>
              <w:bottom w:val="single" w:color="auto" w:sz="2" w:space="0"/>
              <w:right w:val="single" w:color="auto" w:sz="2" w:space="0"/>
            </w:tcBorders>
            <w:vAlign w:val="center"/>
          </w:tcPr>
          <w:p w14:paraId="3CC46B4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3,537,901.31</w:t>
            </w:r>
          </w:p>
        </w:tc>
        <w:tc>
          <w:tcPr>
            <w:tcW w:w="876" w:type="dxa"/>
            <w:tcBorders>
              <w:top w:val="single" w:color="auto" w:sz="2" w:space="0"/>
              <w:left w:val="single" w:color="auto" w:sz="2" w:space="0"/>
              <w:bottom w:val="single" w:color="auto" w:sz="2" w:space="0"/>
              <w:right w:val="single" w:color="auto" w:sz="2" w:space="0"/>
            </w:tcBorders>
            <w:vAlign w:val="center"/>
          </w:tcPr>
          <w:p w14:paraId="60CA59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8.42%</w:t>
            </w:r>
          </w:p>
        </w:tc>
        <w:tc>
          <w:tcPr>
            <w:tcW w:w="876" w:type="dxa"/>
            <w:tcBorders>
              <w:top w:val="single" w:color="auto" w:sz="2" w:space="0"/>
              <w:left w:val="single" w:color="auto" w:sz="2" w:space="0"/>
              <w:bottom w:val="single" w:color="auto" w:sz="2" w:space="0"/>
              <w:right w:val="single" w:color="auto" w:sz="2" w:space="0"/>
            </w:tcBorders>
            <w:vAlign w:val="center"/>
          </w:tcPr>
          <w:p w14:paraId="0B7462DA">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49A227A5">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15B32C9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3,537,901.31</w:t>
            </w:r>
          </w:p>
        </w:tc>
      </w:tr>
      <w:tr w14:paraId="11CAC5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vAlign w:val="center"/>
          </w:tcPr>
          <w:p w14:paraId="2F24760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并表关联方组合</w:t>
            </w:r>
          </w:p>
        </w:tc>
        <w:tc>
          <w:tcPr>
            <w:tcW w:w="876" w:type="dxa"/>
            <w:tcBorders>
              <w:top w:val="single" w:color="auto" w:sz="2" w:space="0"/>
              <w:left w:val="single" w:color="auto" w:sz="2" w:space="0"/>
              <w:bottom w:val="single" w:color="auto" w:sz="2" w:space="0"/>
              <w:right w:val="single" w:color="auto" w:sz="2" w:space="0"/>
            </w:tcBorders>
            <w:vAlign w:val="center"/>
          </w:tcPr>
          <w:p w14:paraId="71A24EB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39,346,451.28</w:t>
            </w:r>
          </w:p>
        </w:tc>
        <w:tc>
          <w:tcPr>
            <w:tcW w:w="876" w:type="dxa"/>
            <w:tcBorders>
              <w:top w:val="single" w:color="auto" w:sz="2" w:space="0"/>
              <w:left w:val="single" w:color="auto" w:sz="2" w:space="0"/>
              <w:bottom w:val="single" w:color="auto" w:sz="2" w:space="0"/>
              <w:right w:val="single" w:color="auto" w:sz="2" w:space="0"/>
            </w:tcBorders>
            <w:vAlign w:val="center"/>
          </w:tcPr>
          <w:p w14:paraId="0B7963C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97.82%</w:t>
            </w:r>
          </w:p>
        </w:tc>
        <w:tc>
          <w:tcPr>
            <w:tcW w:w="876" w:type="dxa"/>
            <w:tcBorders>
              <w:top w:val="single" w:color="auto" w:sz="2" w:space="0"/>
              <w:left w:val="single" w:color="auto" w:sz="2" w:space="0"/>
              <w:bottom w:val="single" w:color="auto" w:sz="2" w:space="0"/>
              <w:right w:val="single" w:color="auto" w:sz="2" w:space="0"/>
            </w:tcBorders>
            <w:vAlign w:val="center"/>
          </w:tcPr>
          <w:p w14:paraId="63589926">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003849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876" w:type="dxa"/>
            <w:tcBorders>
              <w:top w:val="single" w:color="auto" w:sz="2" w:space="0"/>
              <w:left w:val="single" w:color="auto" w:sz="2" w:space="0"/>
              <w:bottom w:val="single" w:color="auto" w:sz="2" w:space="0"/>
              <w:right w:val="single" w:color="auto" w:sz="2" w:space="0"/>
            </w:tcBorders>
            <w:vAlign w:val="center"/>
          </w:tcPr>
          <w:p w14:paraId="6339A93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39,346,451.28</w:t>
            </w:r>
          </w:p>
        </w:tc>
        <w:tc>
          <w:tcPr>
            <w:tcW w:w="876" w:type="dxa"/>
            <w:tcBorders>
              <w:top w:val="single" w:color="auto" w:sz="2" w:space="0"/>
              <w:left w:val="single" w:color="auto" w:sz="2" w:space="0"/>
              <w:bottom w:val="single" w:color="auto" w:sz="2" w:space="0"/>
              <w:right w:val="single" w:color="auto" w:sz="2" w:space="0"/>
            </w:tcBorders>
            <w:vAlign w:val="center"/>
          </w:tcPr>
          <w:p w14:paraId="1D8CE4F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38,118,766.67</w:t>
            </w:r>
          </w:p>
        </w:tc>
        <w:tc>
          <w:tcPr>
            <w:tcW w:w="876" w:type="dxa"/>
            <w:tcBorders>
              <w:top w:val="single" w:color="auto" w:sz="2" w:space="0"/>
              <w:left w:val="single" w:color="auto" w:sz="2" w:space="0"/>
              <w:bottom w:val="single" w:color="auto" w:sz="2" w:space="0"/>
              <w:right w:val="single" w:color="auto" w:sz="2" w:space="0"/>
            </w:tcBorders>
            <w:vAlign w:val="center"/>
          </w:tcPr>
          <w:p w14:paraId="49D85F5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90.74%</w:t>
            </w:r>
          </w:p>
        </w:tc>
        <w:tc>
          <w:tcPr>
            <w:tcW w:w="876" w:type="dxa"/>
            <w:tcBorders>
              <w:top w:val="single" w:color="auto" w:sz="2" w:space="0"/>
              <w:left w:val="single" w:color="auto" w:sz="2" w:space="0"/>
              <w:bottom w:val="single" w:color="auto" w:sz="2" w:space="0"/>
              <w:right w:val="single" w:color="auto" w:sz="2" w:space="0"/>
            </w:tcBorders>
            <w:vAlign w:val="center"/>
          </w:tcPr>
          <w:p w14:paraId="0CB6B9F0">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6D35C2C5">
            <w:pPr>
              <w:spacing w:before="0" w:after="0" w:line="240" w:lineRule="exact"/>
              <w:jc w:val="right"/>
              <w:rPr>
                <w:rFonts w:ascii="宋体" w:hAnsi="宋体" w:eastAsia="宋体" w:cs="宋体"/>
                <w:color w:val="auto"/>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631ED15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38,118,766.67</w:t>
            </w:r>
          </w:p>
        </w:tc>
      </w:tr>
      <w:tr w14:paraId="321D20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FCEE2E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6091B98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40,222,667.32</w:t>
            </w:r>
          </w:p>
        </w:tc>
        <w:tc>
          <w:tcPr>
            <w:tcW w:w="876" w:type="dxa"/>
            <w:tcBorders>
              <w:top w:val="single" w:color="auto" w:sz="2" w:space="0"/>
              <w:left w:val="single" w:color="auto" w:sz="2" w:space="0"/>
              <w:bottom w:val="single" w:color="auto" w:sz="2" w:space="0"/>
              <w:right w:val="single" w:color="auto" w:sz="2" w:space="0"/>
            </w:tcBorders>
            <w:vAlign w:val="center"/>
          </w:tcPr>
          <w:p w14:paraId="6A9275C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5EB0E14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17,863.30</w:t>
            </w:r>
          </w:p>
        </w:tc>
        <w:tc>
          <w:tcPr>
            <w:tcW w:w="876" w:type="dxa"/>
            <w:tcBorders>
              <w:top w:val="single" w:color="auto" w:sz="2" w:space="0"/>
              <w:left w:val="single" w:color="auto" w:sz="2" w:space="0"/>
              <w:bottom w:val="single" w:color="auto" w:sz="2" w:space="0"/>
              <w:right w:val="single" w:color="auto" w:sz="2" w:space="0"/>
            </w:tcBorders>
            <w:vAlign w:val="center"/>
          </w:tcPr>
          <w:p w14:paraId="1AAF29D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6395EEE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40,204,804.02</w:t>
            </w:r>
          </w:p>
        </w:tc>
        <w:tc>
          <w:tcPr>
            <w:tcW w:w="876" w:type="dxa"/>
            <w:tcBorders>
              <w:top w:val="single" w:color="auto" w:sz="2" w:space="0"/>
              <w:left w:val="single" w:color="auto" w:sz="2" w:space="0"/>
              <w:bottom w:val="single" w:color="auto" w:sz="2" w:space="0"/>
              <w:right w:val="single" w:color="auto" w:sz="2" w:space="0"/>
            </w:tcBorders>
            <w:vAlign w:val="center"/>
          </w:tcPr>
          <w:p w14:paraId="43FFC10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42,010,706.59</w:t>
            </w:r>
          </w:p>
        </w:tc>
        <w:tc>
          <w:tcPr>
            <w:tcW w:w="876" w:type="dxa"/>
            <w:tcBorders>
              <w:top w:val="single" w:color="auto" w:sz="2" w:space="0"/>
              <w:left w:val="single" w:color="auto" w:sz="2" w:space="0"/>
              <w:bottom w:val="single" w:color="auto" w:sz="2" w:space="0"/>
              <w:right w:val="single" w:color="auto" w:sz="2" w:space="0"/>
            </w:tcBorders>
            <w:vAlign w:val="center"/>
          </w:tcPr>
          <w:p w14:paraId="4235466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7BEA0C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17,701.93</w:t>
            </w:r>
          </w:p>
        </w:tc>
        <w:tc>
          <w:tcPr>
            <w:tcW w:w="876" w:type="dxa"/>
            <w:tcBorders>
              <w:top w:val="single" w:color="auto" w:sz="2" w:space="0"/>
              <w:left w:val="single" w:color="auto" w:sz="2" w:space="0"/>
              <w:bottom w:val="single" w:color="auto" w:sz="2" w:space="0"/>
              <w:right w:val="single" w:color="auto" w:sz="2" w:space="0"/>
            </w:tcBorders>
            <w:vAlign w:val="center"/>
          </w:tcPr>
          <w:p w14:paraId="29EA5A2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0.04%</w:t>
            </w:r>
          </w:p>
        </w:tc>
        <w:tc>
          <w:tcPr>
            <w:tcW w:w="876" w:type="dxa"/>
            <w:tcBorders>
              <w:top w:val="single" w:color="auto" w:sz="2" w:space="0"/>
              <w:left w:val="single" w:color="auto" w:sz="2" w:space="0"/>
              <w:bottom w:val="single" w:color="auto" w:sz="2" w:space="0"/>
              <w:right w:val="single" w:color="auto" w:sz="2" w:space="0"/>
            </w:tcBorders>
            <w:vAlign w:val="center"/>
          </w:tcPr>
          <w:p w14:paraId="600652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41,993,004.66</w:t>
            </w:r>
          </w:p>
        </w:tc>
      </w:tr>
    </w:tbl>
    <w:p w14:paraId="1A35FA96">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按组合计提坏账准备类别名称：（1）信用组合</w:t>
      </w:r>
    </w:p>
    <w:p w14:paraId="73C0BF8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254BDE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E09043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6CD8B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1B6572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016A1CA">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96C346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2DDA11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A101C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79171D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163EC2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1B18AD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357,266.04</w:t>
            </w:r>
          </w:p>
        </w:tc>
        <w:tc>
          <w:tcPr>
            <w:tcW w:w="2410" w:type="dxa"/>
            <w:tcBorders>
              <w:top w:val="single" w:color="auto" w:sz="2" w:space="0"/>
              <w:left w:val="single" w:color="auto" w:sz="2" w:space="0"/>
              <w:bottom w:val="single" w:color="auto" w:sz="2" w:space="0"/>
              <w:right w:val="single" w:color="auto" w:sz="2" w:space="0"/>
            </w:tcBorders>
            <w:vAlign w:val="center"/>
          </w:tcPr>
          <w:p w14:paraId="18354D2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17,863.30</w:t>
            </w:r>
          </w:p>
        </w:tc>
        <w:tc>
          <w:tcPr>
            <w:tcW w:w="2410" w:type="dxa"/>
            <w:tcBorders>
              <w:top w:val="single" w:color="auto" w:sz="2" w:space="0"/>
              <w:left w:val="single" w:color="auto" w:sz="2" w:space="0"/>
              <w:bottom w:val="single" w:color="auto" w:sz="2" w:space="0"/>
              <w:right w:val="single" w:color="auto" w:sz="2" w:space="0"/>
            </w:tcBorders>
            <w:vAlign w:val="center"/>
          </w:tcPr>
          <w:p w14:paraId="1775BE3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w:t>
            </w:r>
          </w:p>
        </w:tc>
      </w:tr>
      <w:tr w14:paraId="16522F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4583C0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1至2年</w:t>
            </w:r>
          </w:p>
        </w:tc>
        <w:tc>
          <w:tcPr>
            <w:tcW w:w="2410" w:type="dxa"/>
            <w:tcBorders>
              <w:top w:val="single" w:color="auto" w:sz="2" w:space="0"/>
              <w:left w:val="single" w:color="auto" w:sz="2" w:space="0"/>
              <w:bottom w:val="single" w:color="auto" w:sz="2" w:space="0"/>
              <w:right w:val="single" w:color="auto" w:sz="2" w:space="0"/>
            </w:tcBorders>
            <w:vAlign w:val="center"/>
          </w:tcPr>
          <w:p w14:paraId="6BDFF63F">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6A769AE">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5E81BD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w:t>
            </w:r>
          </w:p>
        </w:tc>
      </w:tr>
      <w:tr w14:paraId="0C2922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727A92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2至3年</w:t>
            </w:r>
          </w:p>
        </w:tc>
        <w:tc>
          <w:tcPr>
            <w:tcW w:w="2410" w:type="dxa"/>
            <w:tcBorders>
              <w:top w:val="single" w:color="auto" w:sz="2" w:space="0"/>
              <w:left w:val="single" w:color="auto" w:sz="2" w:space="0"/>
              <w:bottom w:val="single" w:color="auto" w:sz="2" w:space="0"/>
              <w:right w:val="single" w:color="auto" w:sz="2" w:space="0"/>
            </w:tcBorders>
            <w:vAlign w:val="center"/>
          </w:tcPr>
          <w:p w14:paraId="1A7A3A7C">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E2538ED">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09E00C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30.00%</w:t>
            </w:r>
          </w:p>
        </w:tc>
      </w:tr>
      <w:tr w14:paraId="16A24C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E80765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3至4年</w:t>
            </w:r>
          </w:p>
        </w:tc>
        <w:tc>
          <w:tcPr>
            <w:tcW w:w="2410" w:type="dxa"/>
            <w:tcBorders>
              <w:top w:val="single" w:color="auto" w:sz="2" w:space="0"/>
              <w:left w:val="single" w:color="auto" w:sz="2" w:space="0"/>
              <w:bottom w:val="single" w:color="auto" w:sz="2" w:space="0"/>
              <w:right w:val="single" w:color="auto" w:sz="2" w:space="0"/>
            </w:tcBorders>
            <w:vAlign w:val="center"/>
          </w:tcPr>
          <w:p w14:paraId="1383B4F2">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FBF6E56">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C4394A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w:t>
            </w:r>
          </w:p>
        </w:tc>
      </w:tr>
      <w:tr w14:paraId="73EEFA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45E2A2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4至5年</w:t>
            </w:r>
          </w:p>
        </w:tc>
        <w:tc>
          <w:tcPr>
            <w:tcW w:w="2410" w:type="dxa"/>
            <w:tcBorders>
              <w:top w:val="single" w:color="auto" w:sz="2" w:space="0"/>
              <w:left w:val="single" w:color="auto" w:sz="2" w:space="0"/>
              <w:bottom w:val="single" w:color="auto" w:sz="2" w:space="0"/>
              <w:right w:val="single" w:color="auto" w:sz="2" w:space="0"/>
            </w:tcBorders>
            <w:vAlign w:val="center"/>
          </w:tcPr>
          <w:p w14:paraId="386BA696">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C524B81">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A3D463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80.00%</w:t>
            </w:r>
          </w:p>
        </w:tc>
      </w:tr>
      <w:tr w14:paraId="519620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31363F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6047BB82">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A77AD28">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CC33B8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w:t>
            </w:r>
          </w:p>
        </w:tc>
      </w:tr>
      <w:tr w14:paraId="11FBDF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660B2C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73010A8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357,266.04</w:t>
            </w:r>
          </w:p>
        </w:tc>
        <w:tc>
          <w:tcPr>
            <w:tcW w:w="2410" w:type="dxa"/>
            <w:tcBorders>
              <w:top w:val="single" w:color="auto" w:sz="2" w:space="0"/>
              <w:left w:val="single" w:color="auto" w:sz="2" w:space="0"/>
              <w:bottom w:val="single" w:color="auto" w:sz="2" w:space="0"/>
              <w:right w:val="single" w:color="auto" w:sz="2" w:space="0"/>
            </w:tcBorders>
            <w:vAlign w:val="center"/>
          </w:tcPr>
          <w:p w14:paraId="4FC183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17,863.30</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5EBC8A6">
            <w:pPr>
              <w:rPr>
                <w:color w:val="auto"/>
              </w:rPr>
            </w:pPr>
          </w:p>
        </w:tc>
      </w:tr>
    </w:tbl>
    <w:p w14:paraId="09EB637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35C3641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按组合计提坏账准备类别名称：（2）押金、保证金、员工备金组合</w:t>
      </w:r>
    </w:p>
    <w:p w14:paraId="05BFCBCD">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360F5F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0D0994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98751D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32717E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B7A3C31">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6D8A10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72E0D8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EA6BAB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563386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E45C6A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003D59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13,800.00</w:t>
            </w:r>
          </w:p>
        </w:tc>
        <w:tc>
          <w:tcPr>
            <w:tcW w:w="2410" w:type="dxa"/>
            <w:tcBorders>
              <w:top w:val="single" w:color="auto" w:sz="2" w:space="0"/>
              <w:left w:val="single" w:color="auto" w:sz="2" w:space="0"/>
              <w:bottom w:val="single" w:color="auto" w:sz="2" w:space="0"/>
              <w:right w:val="single" w:color="auto" w:sz="2" w:space="0"/>
            </w:tcBorders>
            <w:vAlign w:val="center"/>
          </w:tcPr>
          <w:p w14:paraId="6DA41D1F">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1020BBC">
            <w:pPr>
              <w:spacing w:before="0" w:after="0" w:line="240" w:lineRule="exact"/>
              <w:jc w:val="right"/>
              <w:rPr>
                <w:rFonts w:ascii="宋体" w:hAnsi="宋体" w:eastAsia="宋体" w:cs="宋体"/>
                <w:color w:val="auto"/>
                <w:sz w:val="18"/>
                <w:szCs w:val="18"/>
              </w:rPr>
            </w:pPr>
          </w:p>
        </w:tc>
      </w:tr>
      <w:tr w14:paraId="37F00A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6CB051B">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1至2年</w:t>
            </w:r>
          </w:p>
        </w:tc>
        <w:tc>
          <w:tcPr>
            <w:tcW w:w="2410" w:type="dxa"/>
            <w:tcBorders>
              <w:top w:val="single" w:color="auto" w:sz="2" w:space="0"/>
              <w:left w:val="single" w:color="auto" w:sz="2" w:space="0"/>
              <w:bottom w:val="single" w:color="auto" w:sz="2" w:space="0"/>
              <w:right w:val="single" w:color="auto" w:sz="2" w:space="0"/>
            </w:tcBorders>
            <w:vAlign w:val="center"/>
          </w:tcPr>
          <w:p w14:paraId="097CD5F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17,000.00</w:t>
            </w:r>
          </w:p>
        </w:tc>
        <w:tc>
          <w:tcPr>
            <w:tcW w:w="2410" w:type="dxa"/>
            <w:tcBorders>
              <w:top w:val="single" w:color="auto" w:sz="2" w:space="0"/>
              <w:left w:val="single" w:color="auto" w:sz="2" w:space="0"/>
              <w:bottom w:val="single" w:color="auto" w:sz="2" w:space="0"/>
              <w:right w:val="single" w:color="auto" w:sz="2" w:space="0"/>
            </w:tcBorders>
            <w:vAlign w:val="center"/>
          </w:tcPr>
          <w:p w14:paraId="3632DB9B">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A52971D">
            <w:pPr>
              <w:spacing w:before="0" w:after="0" w:line="240" w:lineRule="exact"/>
              <w:jc w:val="right"/>
              <w:rPr>
                <w:rFonts w:ascii="宋体" w:hAnsi="宋体" w:eastAsia="宋体" w:cs="宋体"/>
                <w:color w:val="auto"/>
                <w:sz w:val="18"/>
                <w:szCs w:val="18"/>
              </w:rPr>
            </w:pPr>
          </w:p>
        </w:tc>
      </w:tr>
      <w:tr w14:paraId="5BEA35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5355AA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2至3年</w:t>
            </w:r>
          </w:p>
        </w:tc>
        <w:tc>
          <w:tcPr>
            <w:tcW w:w="2410" w:type="dxa"/>
            <w:tcBorders>
              <w:top w:val="single" w:color="auto" w:sz="2" w:space="0"/>
              <w:left w:val="single" w:color="auto" w:sz="2" w:space="0"/>
              <w:bottom w:val="single" w:color="auto" w:sz="2" w:space="0"/>
              <w:right w:val="single" w:color="auto" w:sz="2" w:space="0"/>
            </w:tcBorders>
            <w:vAlign w:val="center"/>
          </w:tcPr>
          <w:p w14:paraId="372B25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338,000.00</w:t>
            </w:r>
          </w:p>
        </w:tc>
        <w:tc>
          <w:tcPr>
            <w:tcW w:w="2410" w:type="dxa"/>
            <w:tcBorders>
              <w:top w:val="single" w:color="auto" w:sz="2" w:space="0"/>
              <w:left w:val="single" w:color="auto" w:sz="2" w:space="0"/>
              <w:bottom w:val="single" w:color="auto" w:sz="2" w:space="0"/>
              <w:right w:val="single" w:color="auto" w:sz="2" w:space="0"/>
            </w:tcBorders>
            <w:vAlign w:val="center"/>
          </w:tcPr>
          <w:p w14:paraId="2E04F554">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260D5E5">
            <w:pPr>
              <w:spacing w:before="0" w:after="0" w:line="240" w:lineRule="exact"/>
              <w:jc w:val="right"/>
              <w:rPr>
                <w:rFonts w:ascii="宋体" w:hAnsi="宋体" w:eastAsia="宋体" w:cs="宋体"/>
                <w:color w:val="auto"/>
                <w:sz w:val="18"/>
                <w:szCs w:val="18"/>
              </w:rPr>
            </w:pPr>
          </w:p>
        </w:tc>
      </w:tr>
      <w:tr w14:paraId="21A22A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3D1F949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3至4年</w:t>
            </w:r>
          </w:p>
        </w:tc>
        <w:tc>
          <w:tcPr>
            <w:tcW w:w="2410" w:type="dxa"/>
            <w:tcBorders>
              <w:top w:val="single" w:color="auto" w:sz="2" w:space="0"/>
              <w:left w:val="single" w:color="auto" w:sz="2" w:space="0"/>
              <w:bottom w:val="single" w:color="auto" w:sz="2" w:space="0"/>
              <w:right w:val="single" w:color="auto" w:sz="2" w:space="0"/>
            </w:tcBorders>
            <w:vAlign w:val="center"/>
          </w:tcPr>
          <w:p w14:paraId="573CCEB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w:t>
            </w:r>
          </w:p>
        </w:tc>
        <w:tc>
          <w:tcPr>
            <w:tcW w:w="2410" w:type="dxa"/>
            <w:tcBorders>
              <w:top w:val="single" w:color="auto" w:sz="2" w:space="0"/>
              <w:left w:val="single" w:color="auto" w:sz="2" w:space="0"/>
              <w:bottom w:val="single" w:color="auto" w:sz="2" w:space="0"/>
              <w:right w:val="single" w:color="auto" w:sz="2" w:space="0"/>
            </w:tcBorders>
            <w:vAlign w:val="center"/>
          </w:tcPr>
          <w:p w14:paraId="4651A792">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671F8D3">
            <w:pPr>
              <w:spacing w:before="0" w:after="0" w:line="240" w:lineRule="exact"/>
              <w:jc w:val="right"/>
              <w:rPr>
                <w:rFonts w:ascii="宋体" w:hAnsi="宋体" w:eastAsia="宋体" w:cs="宋体"/>
                <w:color w:val="auto"/>
                <w:sz w:val="18"/>
                <w:szCs w:val="18"/>
              </w:rPr>
            </w:pPr>
          </w:p>
        </w:tc>
      </w:tr>
      <w:tr w14:paraId="09EC49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18DD98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4至5年</w:t>
            </w:r>
          </w:p>
        </w:tc>
        <w:tc>
          <w:tcPr>
            <w:tcW w:w="2410" w:type="dxa"/>
            <w:tcBorders>
              <w:top w:val="single" w:color="auto" w:sz="2" w:space="0"/>
              <w:left w:val="single" w:color="auto" w:sz="2" w:space="0"/>
              <w:bottom w:val="single" w:color="auto" w:sz="2" w:space="0"/>
              <w:right w:val="single" w:color="auto" w:sz="2" w:space="0"/>
            </w:tcBorders>
            <w:vAlign w:val="center"/>
          </w:tcPr>
          <w:p w14:paraId="11A724DA">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089FC8F">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725DE8A">
            <w:pPr>
              <w:spacing w:before="0" w:after="0" w:line="240" w:lineRule="exact"/>
              <w:jc w:val="right"/>
              <w:rPr>
                <w:rFonts w:ascii="宋体" w:hAnsi="宋体" w:eastAsia="宋体" w:cs="宋体"/>
                <w:color w:val="auto"/>
                <w:sz w:val="18"/>
                <w:szCs w:val="18"/>
              </w:rPr>
            </w:pPr>
          </w:p>
        </w:tc>
      </w:tr>
      <w:tr w14:paraId="14FBD0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5E3D97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05F8EF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100,150.00</w:t>
            </w:r>
          </w:p>
        </w:tc>
        <w:tc>
          <w:tcPr>
            <w:tcW w:w="2410" w:type="dxa"/>
            <w:tcBorders>
              <w:top w:val="single" w:color="auto" w:sz="2" w:space="0"/>
              <w:left w:val="single" w:color="auto" w:sz="2" w:space="0"/>
              <w:bottom w:val="single" w:color="auto" w:sz="2" w:space="0"/>
              <w:right w:val="single" w:color="auto" w:sz="2" w:space="0"/>
            </w:tcBorders>
            <w:vAlign w:val="center"/>
          </w:tcPr>
          <w:p w14:paraId="1DE6EEE4">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F4CDC0B">
            <w:pPr>
              <w:spacing w:before="0" w:after="0" w:line="240" w:lineRule="exact"/>
              <w:jc w:val="right"/>
              <w:rPr>
                <w:rFonts w:ascii="宋体" w:hAnsi="宋体" w:eastAsia="宋体" w:cs="宋体"/>
                <w:color w:val="auto"/>
                <w:sz w:val="18"/>
                <w:szCs w:val="18"/>
              </w:rPr>
            </w:pPr>
          </w:p>
        </w:tc>
      </w:tr>
      <w:tr w14:paraId="580123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6501C5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F608A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518,950.00</w:t>
            </w:r>
          </w:p>
        </w:tc>
        <w:tc>
          <w:tcPr>
            <w:tcW w:w="2410" w:type="dxa"/>
            <w:tcBorders>
              <w:top w:val="single" w:color="auto" w:sz="2" w:space="0"/>
              <w:left w:val="single" w:color="auto" w:sz="2" w:space="0"/>
              <w:bottom w:val="single" w:color="auto" w:sz="2" w:space="0"/>
              <w:right w:val="single" w:color="auto" w:sz="2" w:space="0"/>
            </w:tcBorders>
            <w:vAlign w:val="center"/>
          </w:tcPr>
          <w:p w14:paraId="3855D904">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7245CDC">
            <w:pPr>
              <w:rPr>
                <w:color w:val="auto"/>
              </w:rPr>
            </w:pPr>
          </w:p>
        </w:tc>
      </w:tr>
    </w:tbl>
    <w:p w14:paraId="2B088DE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36F2E91A">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按组合计提坏账准备类别名称：（3）并表关联方组合</w:t>
      </w:r>
    </w:p>
    <w:p w14:paraId="2D4D10C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09A509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E25FF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0AD578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392F2A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89F000E">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1FAD9B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D32D9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E66F6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计提比例</w:t>
            </w:r>
          </w:p>
        </w:tc>
      </w:tr>
      <w:tr w14:paraId="1C9D09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1AEE81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5F9D6C2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39,346,451.28</w:t>
            </w:r>
          </w:p>
        </w:tc>
        <w:tc>
          <w:tcPr>
            <w:tcW w:w="2410" w:type="dxa"/>
            <w:tcBorders>
              <w:top w:val="single" w:color="auto" w:sz="2" w:space="0"/>
              <w:left w:val="single" w:color="auto" w:sz="2" w:space="0"/>
              <w:bottom w:val="single" w:color="auto" w:sz="2" w:space="0"/>
              <w:right w:val="single" w:color="auto" w:sz="2" w:space="0"/>
            </w:tcBorders>
            <w:vAlign w:val="center"/>
          </w:tcPr>
          <w:p w14:paraId="4D251B50">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70CD607">
            <w:pPr>
              <w:spacing w:before="0" w:after="0" w:line="240" w:lineRule="exact"/>
              <w:jc w:val="right"/>
              <w:rPr>
                <w:rFonts w:ascii="宋体" w:hAnsi="宋体" w:eastAsia="宋体" w:cs="宋体"/>
                <w:color w:val="auto"/>
                <w:sz w:val="18"/>
                <w:szCs w:val="18"/>
              </w:rPr>
            </w:pPr>
          </w:p>
        </w:tc>
      </w:tr>
      <w:tr w14:paraId="1AC9B6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B09910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07A5460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39,346,451.28</w:t>
            </w:r>
          </w:p>
        </w:tc>
        <w:tc>
          <w:tcPr>
            <w:tcW w:w="2410" w:type="dxa"/>
            <w:tcBorders>
              <w:top w:val="single" w:color="auto" w:sz="2" w:space="0"/>
              <w:left w:val="single" w:color="auto" w:sz="2" w:space="0"/>
              <w:bottom w:val="single" w:color="auto" w:sz="2" w:space="0"/>
              <w:right w:val="single" w:color="auto" w:sz="2" w:space="0"/>
            </w:tcBorders>
            <w:vAlign w:val="center"/>
          </w:tcPr>
          <w:p w14:paraId="1965E706">
            <w:pPr>
              <w:spacing w:before="0" w:after="0" w:line="240" w:lineRule="exact"/>
              <w:jc w:val="right"/>
              <w:rPr>
                <w:rFonts w:ascii="宋体" w:hAnsi="宋体" w:eastAsia="宋体" w:cs="宋体"/>
                <w:color w:val="auto"/>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FBE0D28">
            <w:pPr>
              <w:rPr>
                <w:color w:val="auto"/>
              </w:rPr>
            </w:pPr>
          </w:p>
        </w:tc>
      </w:tr>
    </w:tbl>
    <w:p w14:paraId="7C4DD5F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确定该组合依据的说明：</w:t>
      </w:r>
    </w:p>
    <w:p w14:paraId="332E563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按预期信用损失一般模型计提坏账准备：</w:t>
      </w:r>
    </w:p>
    <w:p w14:paraId="058443F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0FF5B0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525FA8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90488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CC696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1C71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E9976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1998CE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0DF395D">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DF763E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93457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F8B27B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2F3AA0">
            <w:pPr>
              <w:rPr>
                <w:color w:val="auto"/>
              </w:rPr>
            </w:pPr>
          </w:p>
        </w:tc>
      </w:tr>
      <w:tr w14:paraId="7937E5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6CB8E46">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2025年1月1日余额</w:t>
            </w:r>
          </w:p>
        </w:tc>
        <w:tc>
          <w:tcPr>
            <w:tcW w:w="1928" w:type="dxa"/>
            <w:tcBorders>
              <w:top w:val="single" w:color="auto" w:sz="2" w:space="0"/>
              <w:left w:val="single" w:color="auto" w:sz="2" w:space="0"/>
              <w:bottom w:val="single" w:color="auto" w:sz="2" w:space="0"/>
              <w:right w:val="single" w:color="auto" w:sz="2" w:space="0"/>
            </w:tcBorders>
            <w:vAlign w:val="center"/>
          </w:tcPr>
          <w:p w14:paraId="6D8887D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17,701.93</w:t>
            </w:r>
          </w:p>
        </w:tc>
        <w:tc>
          <w:tcPr>
            <w:tcW w:w="1928" w:type="dxa"/>
            <w:tcBorders>
              <w:top w:val="single" w:color="auto" w:sz="2" w:space="0"/>
              <w:left w:val="single" w:color="auto" w:sz="2" w:space="0"/>
              <w:bottom w:val="single" w:color="auto" w:sz="2" w:space="0"/>
              <w:right w:val="single" w:color="auto" w:sz="2" w:space="0"/>
            </w:tcBorders>
            <w:vAlign w:val="center"/>
          </w:tcPr>
          <w:p w14:paraId="589FB90E">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3450687">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09CB3B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17,701.93</w:t>
            </w:r>
          </w:p>
        </w:tc>
      </w:tr>
      <w:tr w14:paraId="3B37E5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674F6B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2025年1月1日余额在本期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0C0B19">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EE9ED84">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31C2C32">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44E4001">
            <w:pPr>
              <w:rPr>
                <w:color w:val="auto"/>
              </w:rPr>
            </w:pPr>
          </w:p>
        </w:tc>
      </w:tr>
      <w:tr w14:paraId="72E6CE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96212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本期计提</w:t>
            </w:r>
          </w:p>
        </w:tc>
        <w:tc>
          <w:tcPr>
            <w:tcW w:w="1928" w:type="dxa"/>
            <w:tcBorders>
              <w:top w:val="single" w:color="auto" w:sz="2" w:space="0"/>
              <w:left w:val="single" w:color="auto" w:sz="2" w:space="0"/>
              <w:bottom w:val="single" w:color="auto" w:sz="2" w:space="0"/>
              <w:right w:val="single" w:color="auto" w:sz="2" w:space="0"/>
            </w:tcBorders>
            <w:vAlign w:val="center"/>
          </w:tcPr>
          <w:p w14:paraId="22F12FC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635.67</w:t>
            </w:r>
          </w:p>
        </w:tc>
        <w:tc>
          <w:tcPr>
            <w:tcW w:w="1928" w:type="dxa"/>
            <w:tcBorders>
              <w:top w:val="single" w:color="auto" w:sz="2" w:space="0"/>
              <w:left w:val="single" w:color="auto" w:sz="2" w:space="0"/>
              <w:bottom w:val="single" w:color="auto" w:sz="2" w:space="0"/>
              <w:right w:val="single" w:color="auto" w:sz="2" w:space="0"/>
            </w:tcBorders>
            <w:vAlign w:val="center"/>
          </w:tcPr>
          <w:p w14:paraId="0F605BD2">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D5BD1FF">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7FD58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635.67</w:t>
            </w:r>
          </w:p>
        </w:tc>
      </w:tr>
      <w:tr w14:paraId="5360B0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CDCE46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本期转回</w:t>
            </w:r>
          </w:p>
        </w:tc>
        <w:tc>
          <w:tcPr>
            <w:tcW w:w="1928" w:type="dxa"/>
            <w:tcBorders>
              <w:top w:val="single" w:color="auto" w:sz="2" w:space="0"/>
              <w:left w:val="single" w:color="auto" w:sz="2" w:space="0"/>
              <w:bottom w:val="single" w:color="auto" w:sz="2" w:space="0"/>
              <w:right w:val="single" w:color="auto" w:sz="2" w:space="0"/>
            </w:tcBorders>
            <w:vAlign w:val="center"/>
          </w:tcPr>
          <w:p w14:paraId="3631C4E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474.30</w:t>
            </w:r>
          </w:p>
        </w:tc>
        <w:tc>
          <w:tcPr>
            <w:tcW w:w="1928" w:type="dxa"/>
            <w:tcBorders>
              <w:top w:val="single" w:color="auto" w:sz="2" w:space="0"/>
              <w:left w:val="single" w:color="auto" w:sz="2" w:space="0"/>
              <w:bottom w:val="single" w:color="auto" w:sz="2" w:space="0"/>
              <w:right w:val="single" w:color="auto" w:sz="2" w:space="0"/>
            </w:tcBorders>
            <w:vAlign w:val="center"/>
          </w:tcPr>
          <w:p w14:paraId="334F47DD">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24F5DFD">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359BBD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474.30</w:t>
            </w:r>
          </w:p>
        </w:tc>
      </w:tr>
      <w:tr w14:paraId="71FE97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81673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2025年6月30日余额</w:t>
            </w:r>
          </w:p>
        </w:tc>
        <w:tc>
          <w:tcPr>
            <w:tcW w:w="1928" w:type="dxa"/>
            <w:tcBorders>
              <w:top w:val="single" w:color="auto" w:sz="2" w:space="0"/>
              <w:left w:val="single" w:color="auto" w:sz="2" w:space="0"/>
              <w:bottom w:val="single" w:color="auto" w:sz="2" w:space="0"/>
              <w:right w:val="single" w:color="auto" w:sz="2" w:space="0"/>
            </w:tcBorders>
            <w:vAlign w:val="center"/>
          </w:tcPr>
          <w:p w14:paraId="60B436E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17,863.30</w:t>
            </w:r>
          </w:p>
        </w:tc>
        <w:tc>
          <w:tcPr>
            <w:tcW w:w="1928" w:type="dxa"/>
            <w:tcBorders>
              <w:top w:val="single" w:color="auto" w:sz="2" w:space="0"/>
              <w:left w:val="single" w:color="auto" w:sz="2" w:space="0"/>
              <w:bottom w:val="single" w:color="auto" w:sz="2" w:space="0"/>
              <w:right w:val="single" w:color="auto" w:sz="2" w:space="0"/>
            </w:tcBorders>
            <w:vAlign w:val="center"/>
          </w:tcPr>
          <w:p w14:paraId="54085F30">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9B0613F">
            <w:pPr>
              <w:spacing w:before="0" w:after="0" w:line="240" w:lineRule="exact"/>
              <w:jc w:val="right"/>
              <w:rPr>
                <w:rFonts w:ascii="宋体" w:hAnsi="宋体" w:eastAsia="宋体" w:cs="宋体"/>
                <w:color w:val="auto"/>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48D85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17,863.30</w:t>
            </w:r>
          </w:p>
        </w:tc>
      </w:tr>
    </w:tbl>
    <w:p w14:paraId="08326BF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各阶段划分依据和坏账准备计提比例</w:t>
      </w:r>
    </w:p>
    <w:p w14:paraId="7398700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损失准备本期变动金额重大的账面余额变动情况</w:t>
      </w:r>
    </w:p>
    <w:p w14:paraId="0DED557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6CED7AA4">
      <w:pPr>
        <w:keepNext/>
        <w:keepLines/>
        <w:spacing w:before="300" w:after="300" w:line="280" w:lineRule="exact"/>
        <w:jc w:val="left"/>
        <w:outlineLvl w:val="4"/>
        <w:rPr>
          <w:rFonts w:ascii="宋体" w:hAnsi="宋体" w:eastAsia="宋体" w:cs="宋体"/>
          <w:b/>
          <w:bCs/>
          <w:color w:val="auto"/>
          <w:sz w:val="18"/>
          <w:szCs w:val="18"/>
        </w:rPr>
      </w:pPr>
      <w:bookmarkStart w:id="448" w:name="_Toc989424"/>
      <w:r>
        <w:rPr>
          <w:rFonts w:ascii="宋体" w:hAnsi="宋体" w:eastAsia="宋体" w:cs="宋体"/>
          <w:b/>
          <w:bCs/>
          <w:color w:val="auto"/>
          <w:sz w:val="18"/>
          <w:szCs w:val="18"/>
        </w:rPr>
        <w:t>4）本期计提、收回或转回的坏账准备情况</w:t>
      </w:r>
      <w:bookmarkEnd w:id="448"/>
    </w:p>
    <w:p w14:paraId="0690407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本期计提坏账准备情况：</w:t>
      </w:r>
    </w:p>
    <w:p w14:paraId="758B3D8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A2D1B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535DB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C5C2D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4BEAD3C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D5D0D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r>
      <w:tr w14:paraId="18578E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F165D2">
            <w:pPr>
              <w:rPr>
                <w:color w:val="auto"/>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9BE0EB">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ACD0F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17B780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7D537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908749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1B75E1C">
            <w:pPr>
              <w:rPr>
                <w:color w:val="auto"/>
              </w:rPr>
            </w:pPr>
          </w:p>
        </w:tc>
      </w:tr>
      <w:tr w14:paraId="7A03F9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031ACCD">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按组合计提预期信用损失的其他应收款</w:t>
            </w:r>
          </w:p>
        </w:tc>
        <w:tc>
          <w:tcPr>
            <w:tcW w:w="1377" w:type="dxa"/>
            <w:tcBorders>
              <w:top w:val="single" w:color="auto" w:sz="2" w:space="0"/>
              <w:left w:val="single" w:color="auto" w:sz="2" w:space="0"/>
              <w:bottom w:val="single" w:color="auto" w:sz="2" w:space="0"/>
              <w:right w:val="single" w:color="auto" w:sz="2" w:space="0"/>
            </w:tcBorders>
            <w:vAlign w:val="center"/>
          </w:tcPr>
          <w:p w14:paraId="5F96591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17,701.93</w:t>
            </w:r>
          </w:p>
        </w:tc>
        <w:tc>
          <w:tcPr>
            <w:tcW w:w="1377" w:type="dxa"/>
            <w:tcBorders>
              <w:top w:val="single" w:color="auto" w:sz="2" w:space="0"/>
              <w:left w:val="single" w:color="auto" w:sz="2" w:space="0"/>
              <w:bottom w:val="single" w:color="auto" w:sz="2" w:space="0"/>
              <w:right w:val="single" w:color="auto" w:sz="2" w:space="0"/>
            </w:tcBorders>
            <w:vAlign w:val="center"/>
          </w:tcPr>
          <w:p w14:paraId="2F96447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635.67</w:t>
            </w:r>
          </w:p>
        </w:tc>
        <w:tc>
          <w:tcPr>
            <w:tcW w:w="1377" w:type="dxa"/>
            <w:tcBorders>
              <w:top w:val="single" w:color="auto" w:sz="2" w:space="0"/>
              <w:left w:val="single" w:color="auto" w:sz="2" w:space="0"/>
              <w:bottom w:val="single" w:color="auto" w:sz="2" w:space="0"/>
              <w:right w:val="single" w:color="auto" w:sz="2" w:space="0"/>
            </w:tcBorders>
            <w:vAlign w:val="center"/>
          </w:tcPr>
          <w:p w14:paraId="4080AF5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474.30</w:t>
            </w:r>
          </w:p>
        </w:tc>
        <w:tc>
          <w:tcPr>
            <w:tcW w:w="1377" w:type="dxa"/>
            <w:tcBorders>
              <w:top w:val="single" w:color="auto" w:sz="2" w:space="0"/>
              <w:left w:val="single" w:color="auto" w:sz="2" w:space="0"/>
              <w:bottom w:val="single" w:color="auto" w:sz="2" w:space="0"/>
              <w:right w:val="single" w:color="auto" w:sz="2" w:space="0"/>
            </w:tcBorders>
            <w:vAlign w:val="center"/>
          </w:tcPr>
          <w:p w14:paraId="0A6930F4">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7A77376">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E44FE1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17,863.30</w:t>
            </w:r>
          </w:p>
        </w:tc>
      </w:tr>
      <w:tr w14:paraId="61C50E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4C2DD8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47CABAB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17,701.93</w:t>
            </w:r>
          </w:p>
        </w:tc>
        <w:tc>
          <w:tcPr>
            <w:tcW w:w="1377" w:type="dxa"/>
            <w:tcBorders>
              <w:top w:val="single" w:color="auto" w:sz="2" w:space="0"/>
              <w:left w:val="single" w:color="auto" w:sz="2" w:space="0"/>
              <w:bottom w:val="single" w:color="auto" w:sz="2" w:space="0"/>
              <w:right w:val="single" w:color="auto" w:sz="2" w:space="0"/>
            </w:tcBorders>
            <w:vAlign w:val="center"/>
          </w:tcPr>
          <w:p w14:paraId="2FC0974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635.67</w:t>
            </w:r>
          </w:p>
        </w:tc>
        <w:tc>
          <w:tcPr>
            <w:tcW w:w="1377" w:type="dxa"/>
            <w:tcBorders>
              <w:top w:val="single" w:color="auto" w:sz="2" w:space="0"/>
              <w:left w:val="single" w:color="auto" w:sz="2" w:space="0"/>
              <w:bottom w:val="single" w:color="auto" w:sz="2" w:space="0"/>
              <w:right w:val="single" w:color="auto" w:sz="2" w:space="0"/>
            </w:tcBorders>
            <w:vAlign w:val="center"/>
          </w:tcPr>
          <w:p w14:paraId="2E6C178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474.30</w:t>
            </w:r>
          </w:p>
        </w:tc>
        <w:tc>
          <w:tcPr>
            <w:tcW w:w="1377" w:type="dxa"/>
            <w:tcBorders>
              <w:top w:val="single" w:color="auto" w:sz="2" w:space="0"/>
              <w:left w:val="single" w:color="auto" w:sz="2" w:space="0"/>
              <w:bottom w:val="single" w:color="auto" w:sz="2" w:space="0"/>
              <w:right w:val="single" w:color="auto" w:sz="2" w:space="0"/>
            </w:tcBorders>
            <w:vAlign w:val="center"/>
          </w:tcPr>
          <w:p w14:paraId="12BE73DD">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33CABDE">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DC9E54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17,863.30</w:t>
            </w:r>
          </w:p>
        </w:tc>
      </w:tr>
    </w:tbl>
    <w:p w14:paraId="0430E4C7">
      <w:pPr>
        <w:spacing w:before="100" w:after="100" w:line="0" w:lineRule="exact"/>
        <w:jc w:val="left"/>
        <w:rPr>
          <w:color w:val="auto"/>
        </w:rPr>
      </w:pPr>
    </w:p>
    <w:p w14:paraId="3EDF46D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其中本期坏账准备转回或收回金额重要的：</w:t>
      </w:r>
    </w:p>
    <w:p w14:paraId="4A7C1E7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66CD5E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7A6FC9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A67BC2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A322A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BAF837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523866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确定原坏账准备计提比例的依据及其合理性</w:t>
            </w:r>
          </w:p>
        </w:tc>
      </w:tr>
    </w:tbl>
    <w:p w14:paraId="294072CA">
      <w:pPr>
        <w:spacing w:before="100" w:after="100" w:line="0" w:lineRule="exact"/>
        <w:jc w:val="left"/>
        <w:rPr>
          <w:color w:val="auto"/>
        </w:rPr>
      </w:pPr>
    </w:p>
    <w:p w14:paraId="64A87D85">
      <w:pPr>
        <w:keepNext/>
        <w:keepLines/>
        <w:spacing w:before="300" w:after="300" w:line="280" w:lineRule="exact"/>
        <w:jc w:val="left"/>
        <w:outlineLvl w:val="4"/>
        <w:rPr>
          <w:rFonts w:ascii="宋体" w:hAnsi="宋体" w:eastAsia="宋体" w:cs="宋体"/>
          <w:b/>
          <w:bCs/>
          <w:color w:val="auto"/>
          <w:sz w:val="18"/>
          <w:szCs w:val="18"/>
        </w:rPr>
      </w:pPr>
      <w:bookmarkStart w:id="449" w:name="_Toc989425"/>
      <w:r>
        <w:rPr>
          <w:rFonts w:ascii="宋体" w:hAnsi="宋体" w:eastAsia="宋体" w:cs="宋体"/>
          <w:b/>
          <w:bCs/>
          <w:color w:val="auto"/>
          <w:sz w:val="18"/>
          <w:szCs w:val="18"/>
        </w:rPr>
        <w:t>5）本期实际核销的其他应收款情况</w:t>
      </w:r>
      <w:bookmarkEnd w:id="449"/>
    </w:p>
    <w:p w14:paraId="4EABC78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20"/>
      </w:tblGrid>
      <w:tr w14:paraId="5D6D86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34804D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69C02B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r>
    </w:tbl>
    <w:p w14:paraId="1D15A89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其中重要的其他应收款核销情况：</w:t>
      </w:r>
    </w:p>
    <w:p w14:paraId="13E0EE82">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35214F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563EF4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AECABC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其他应收款性质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F7DA69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A6E496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5CEC80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D947C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款项是否由关联交易产生</w:t>
            </w:r>
          </w:p>
        </w:tc>
      </w:tr>
    </w:tbl>
    <w:p w14:paraId="44F2064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其他应收款核销说明：</w:t>
      </w:r>
    </w:p>
    <w:p w14:paraId="0F732C40">
      <w:pPr>
        <w:keepNext/>
        <w:keepLines/>
        <w:spacing w:before="300" w:after="300" w:line="280" w:lineRule="exact"/>
        <w:jc w:val="left"/>
        <w:outlineLvl w:val="4"/>
        <w:rPr>
          <w:rFonts w:ascii="宋体" w:hAnsi="宋体" w:eastAsia="宋体" w:cs="宋体"/>
          <w:b/>
          <w:bCs/>
          <w:color w:val="auto"/>
          <w:sz w:val="18"/>
          <w:szCs w:val="18"/>
        </w:rPr>
      </w:pPr>
      <w:bookmarkStart w:id="450" w:name="_Toc989426"/>
      <w:r>
        <w:rPr>
          <w:rFonts w:ascii="宋体" w:hAnsi="宋体" w:eastAsia="宋体" w:cs="宋体"/>
          <w:b/>
          <w:bCs/>
          <w:color w:val="auto"/>
          <w:sz w:val="18"/>
          <w:szCs w:val="18"/>
        </w:rPr>
        <w:t>6）按欠款方归集的期末余额前五名的其他应收款情况</w:t>
      </w:r>
      <w:bookmarkEnd w:id="450"/>
    </w:p>
    <w:p w14:paraId="2181CD1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6"/>
        <w:gridCol w:w="1606"/>
        <w:gridCol w:w="1606"/>
      </w:tblGrid>
      <w:tr w14:paraId="718FB3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722F18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08149A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款项的性质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814674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E787B0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账龄</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CBCB3D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占其他应收款期末余额合计数的比例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321048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坏账准备期末余额</w:t>
            </w:r>
          </w:p>
        </w:tc>
      </w:tr>
      <w:tr w14:paraId="24FA73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768AFB5">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福建广生中霖生物科技有限公司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0A743339">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并表关联方往来</w:t>
            </w:r>
          </w:p>
        </w:tc>
        <w:tc>
          <w:tcPr>
            <w:tcW w:w="1606" w:type="dxa"/>
            <w:tcBorders>
              <w:top w:val="single" w:color="auto" w:sz="2" w:space="0"/>
              <w:left w:val="single" w:color="auto" w:sz="2" w:space="0"/>
              <w:bottom w:val="single" w:color="auto" w:sz="2" w:space="0"/>
              <w:right w:val="single" w:color="auto" w:sz="2" w:space="0"/>
            </w:tcBorders>
            <w:vAlign w:val="center"/>
          </w:tcPr>
          <w:p w14:paraId="31642D2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22,092,652.77</w:t>
            </w:r>
          </w:p>
        </w:tc>
        <w:tc>
          <w:tcPr>
            <w:tcW w:w="1606" w:type="dxa"/>
            <w:tcBorders>
              <w:top w:val="single" w:color="auto" w:sz="2" w:space="0"/>
              <w:left w:val="single" w:color="auto" w:sz="2" w:space="0"/>
              <w:bottom w:val="single" w:color="auto" w:sz="2" w:space="0"/>
              <w:right w:val="single" w:color="auto" w:sz="2" w:space="0"/>
            </w:tcBorders>
            <w:vAlign w:val="center"/>
          </w:tcPr>
          <w:p w14:paraId="1633CD0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1年内</w:t>
            </w:r>
          </w:p>
        </w:tc>
        <w:tc>
          <w:tcPr>
            <w:tcW w:w="1606" w:type="dxa"/>
            <w:tcBorders>
              <w:top w:val="single" w:color="auto" w:sz="2" w:space="0"/>
              <w:left w:val="single" w:color="auto" w:sz="2" w:space="0"/>
              <w:bottom w:val="single" w:color="auto" w:sz="2" w:space="0"/>
              <w:right w:val="single" w:color="auto" w:sz="2" w:space="0"/>
            </w:tcBorders>
            <w:vAlign w:val="center"/>
          </w:tcPr>
          <w:p w14:paraId="7AA3D2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54.93%</w:t>
            </w:r>
          </w:p>
        </w:tc>
        <w:tc>
          <w:tcPr>
            <w:tcW w:w="1606" w:type="dxa"/>
            <w:tcBorders>
              <w:top w:val="single" w:color="auto" w:sz="2" w:space="0"/>
              <w:left w:val="single" w:color="auto" w:sz="2" w:space="0"/>
              <w:bottom w:val="single" w:color="auto" w:sz="2" w:space="0"/>
              <w:right w:val="single" w:color="auto" w:sz="2" w:space="0"/>
            </w:tcBorders>
            <w:vAlign w:val="center"/>
          </w:tcPr>
          <w:p w14:paraId="10BB38F0">
            <w:pPr>
              <w:spacing w:before="0" w:after="0" w:line="240" w:lineRule="exact"/>
              <w:jc w:val="right"/>
              <w:rPr>
                <w:rFonts w:ascii="宋体" w:hAnsi="宋体" w:eastAsia="宋体" w:cs="宋体"/>
                <w:color w:val="auto"/>
                <w:sz w:val="18"/>
                <w:szCs w:val="18"/>
              </w:rPr>
            </w:pPr>
          </w:p>
        </w:tc>
      </w:tr>
      <w:tr w14:paraId="390DB0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009D5A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福建广生堂金塘药业有限公司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6856BCB8">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并表关联方往来</w:t>
            </w:r>
          </w:p>
        </w:tc>
        <w:tc>
          <w:tcPr>
            <w:tcW w:w="1606" w:type="dxa"/>
            <w:tcBorders>
              <w:top w:val="single" w:color="auto" w:sz="2" w:space="0"/>
              <w:left w:val="single" w:color="auto" w:sz="2" w:space="0"/>
              <w:bottom w:val="single" w:color="auto" w:sz="2" w:space="0"/>
              <w:right w:val="single" w:color="auto" w:sz="2" w:space="0"/>
            </w:tcBorders>
            <w:vAlign w:val="center"/>
          </w:tcPr>
          <w:p w14:paraId="659D603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17,253,798.51</w:t>
            </w:r>
          </w:p>
        </w:tc>
        <w:tc>
          <w:tcPr>
            <w:tcW w:w="1606" w:type="dxa"/>
            <w:tcBorders>
              <w:top w:val="single" w:color="auto" w:sz="2" w:space="0"/>
              <w:left w:val="single" w:color="auto" w:sz="2" w:space="0"/>
              <w:bottom w:val="single" w:color="auto" w:sz="2" w:space="0"/>
              <w:right w:val="single" w:color="auto" w:sz="2" w:space="0"/>
            </w:tcBorders>
            <w:vAlign w:val="center"/>
          </w:tcPr>
          <w:p w14:paraId="7FA349A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1年内</w:t>
            </w:r>
          </w:p>
        </w:tc>
        <w:tc>
          <w:tcPr>
            <w:tcW w:w="1606" w:type="dxa"/>
            <w:tcBorders>
              <w:top w:val="single" w:color="auto" w:sz="2" w:space="0"/>
              <w:left w:val="single" w:color="auto" w:sz="2" w:space="0"/>
              <w:bottom w:val="single" w:color="auto" w:sz="2" w:space="0"/>
              <w:right w:val="single" w:color="auto" w:sz="2" w:space="0"/>
            </w:tcBorders>
            <w:vAlign w:val="center"/>
          </w:tcPr>
          <w:p w14:paraId="66748ED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42.90%</w:t>
            </w:r>
          </w:p>
        </w:tc>
        <w:tc>
          <w:tcPr>
            <w:tcW w:w="1606" w:type="dxa"/>
            <w:tcBorders>
              <w:top w:val="single" w:color="auto" w:sz="2" w:space="0"/>
              <w:left w:val="single" w:color="auto" w:sz="2" w:space="0"/>
              <w:bottom w:val="single" w:color="auto" w:sz="2" w:space="0"/>
              <w:right w:val="single" w:color="auto" w:sz="2" w:space="0"/>
            </w:tcBorders>
            <w:vAlign w:val="center"/>
          </w:tcPr>
          <w:p w14:paraId="4A7CBFB6">
            <w:pPr>
              <w:spacing w:before="0" w:after="0" w:line="240" w:lineRule="exact"/>
              <w:jc w:val="right"/>
              <w:rPr>
                <w:rFonts w:ascii="宋体" w:hAnsi="宋体" w:eastAsia="宋体" w:cs="宋体"/>
                <w:color w:val="auto"/>
                <w:sz w:val="18"/>
                <w:szCs w:val="18"/>
              </w:rPr>
            </w:pPr>
          </w:p>
        </w:tc>
      </w:tr>
      <w:tr w14:paraId="60663F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E34538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广州空港阿里健康大药房有限公司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0584320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保证金</w:t>
            </w:r>
          </w:p>
        </w:tc>
        <w:tc>
          <w:tcPr>
            <w:tcW w:w="1606" w:type="dxa"/>
            <w:tcBorders>
              <w:top w:val="single" w:color="auto" w:sz="2" w:space="0"/>
              <w:left w:val="single" w:color="auto" w:sz="2" w:space="0"/>
              <w:bottom w:val="single" w:color="auto" w:sz="2" w:space="0"/>
              <w:right w:val="single" w:color="auto" w:sz="2" w:space="0"/>
            </w:tcBorders>
            <w:vAlign w:val="center"/>
          </w:tcPr>
          <w:p w14:paraId="05D485B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330,000.00</w:t>
            </w:r>
          </w:p>
        </w:tc>
        <w:tc>
          <w:tcPr>
            <w:tcW w:w="1606" w:type="dxa"/>
            <w:tcBorders>
              <w:top w:val="single" w:color="auto" w:sz="2" w:space="0"/>
              <w:left w:val="single" w:color="auto" w:sz="2" w:space="0"/>
              <w:bottom w:val="single" w:color="auto" w:sz="2" w:space="0"/>
              <w:right w:val="single" w:color="auto" w:sz="2" w:space="0"/>
            </w:tcBorders>
            <w:vAlign w:val="center"/>
          </w:tcPr>
          <w:p w14:paraId="0C90A03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2-3年</w:t>
            </w:r>
          </w:p>
        </w:tc>
        <w:tc>
          <w:tcPr>
            <w:tcW w:w="1606" w:type="dxa"/>
            <w:tcBorders>
              <w:top w:val="single" w:color="auto" w:sz="2" w:space="0"/>
              <w:left w:val="single" w:color="auto" w:sz="2" w:space="0"/>
              <w:bottom w:val="single" w:color="auto" w:sz="2" w:space="0"/>
              <w:right w:val="single" w:color="auto" w:sz="2" w:space="0"/>
            </w:tcBorders>
            <w:vAlign w:val="center"/>
          </w:tcPr>
          <w:p w14:paraId="541C478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0.82%</w:t>
            </w:r>
          </w:p>
        </w:tc>
        <w:tc>
          <w:tcPr>
            <w:tcW w:w="1606" w:type="dxa"/>
            <w:tcBorders>
              <w:top w:val="single" w:color="auto" w:sz="2" w:space="0"/>
              <w:left w:val="single" w:color="auto" w:sz="2" w:space="0"/>
              <w:bottom w:val="single" w:color="auto" w:sz="2" w:space="0"/>
              <w:right w:val="single" w:color="auto" w:sz="2" w:space="0"/>
            </w:tcBorders>
            <w:vAlign w:val="center"/>
          </w:tcPr>
          <w:p w14:paraId="6A9D5009">
            <w:pPr>
              <w:spacing w:before="0" w:after="0" w:line="240" w:lineRule="exact"/>
              <w:jc w:val="right"/>
              <w:rPr>
                <w:rFonts w:ascii="宋体" w:hAnsi="宋体" w:eastAsia="宋体" w:cs="宋体"/>
                <w:color w:val="auto"/>
                <w:sz w:val="18"/>
                <w:szCs w:val="18"/>
              </w:rPr>
            </w:pPr>
          </w:p>
        </w:tc>
      </w:tr>
      <w:tr w14:paraId="32AEA3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7D7B000">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福州高新区中节能物业管理有限公司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0622BC5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押金</w:t>
            </w:r>
          </w:p>
        </w:tc>
        <w:tc>
          <w:tcPr>
            <w:tcW w:w="1606" w:type="dxa"/>
            <w:tcBorders>
              <w:top w:val="single" w:color="auto" w:sz="2" w:space="0"/>
              <w:left w:val="single" w:color="auto" w:sz="2" w:space="0"/>
              <w:bottom w:val="single" w:color="auto" w:sz="2" w:space="0"/>
              <w:right w:val="single" w:color="auto" w:sz="2" w:space="0"/>
            </w:tcBorders>
            <w:vAlign w:val="center"/>
          </w:tcPr>
          <w:p w14:paraId="7919553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w:t>
            </w:r>
          </w:p>
        </w:tc>
        <w:tc>
          <w:tcPr>
            <w:tcW w:w="1606" w:type="dxa"/>
            <w:tcBorders>
              <w:top w:val="single" w:color="auto" w:sz="2" w:space="0"/>
              <w:left w:val="single" w:color="auto" w:sz="2" w:space="0"/>
              <w:bottom w:val="single" w:color="auto" w:sz="2" w:space="0"/>
              <w:right w:val="single" w:color="auto" w:sz="2" w:space="0"/>
            </w:tcBorders>
            <w:vAlign w:val="center"/>
          </w:tcPr>
          <w:p w14:paraId="6B1C58E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3-4年</w:t>
            </w:r>
          </w:p>
        </w:tc>
        <w:tc>
          <w:tcPr>
            <w:tcW w:w="1606" w:type="dxa"/>
            <w:tcBorders>
              <w:top w:val="single" w:color="auto" w:sz="2" w:space="0"/>
              <w:left w:val="single" w:color="auto" w:sz="2" w:space="0"/>
              <w:bottom w:val="single" w:color="auto" w:sz="2" w:space="0"/>
              <w:right w:val="single" w:color="auto" w:sz="2" w:space="0"/>
            </w:tcBorders>
            <w:vAlign w:val="center"/>
          </w:tcPr>
          <w:p w14:paraId="7F27654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0.12%</w:t>
            </w:r>
          </w:p>
        </w:tc>
        <w:tc>
          <w:tcPr>
            <w:tcW w:w="1606" w:type="dxa"/>
            <w:tcBorders>
              <w:top w:val="single" w:color="auto" w:sz="2" w:space="0"/>
              <w:left w:val="single" w:color="auto" w:sz="2" w:space="0"/>
              <w:bottom w:val="single" w:color="auto" w:sz="2" w:space="0"/>
              <w:right w:val="single" w:color="auto" w:sz="2" w:space="0"/>
            </w:tcBorders>
            <w:vAlign w:val="center"/>
          </w:tcPr>
          <w:p w14:paraId="03F5ACF6">
            <w:pPr>
              <w:spacing w:before="0" w:after="0" w:line="240" w:lineRule="exact"/>
              <w:jc w:val="right"/>
              <w:rPr>
                <w:rFonts w:ascii="宋体" w:hAnsi="宋体" w:eastAsia="宋体" w:cs="宋体"/>
                <w:color w:val="auto"/>
                <w:sz w:val="18"/>
                <w:szCs w:val="18"/>
              </w:rPr>
            </w:pPr>
          </w:p>
        </w:tc>
      </w:tr>
      <w:tr w14:paraId="2C9C66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1B5A2F4">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京东大药房（青岛）连锁有限公司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47B34E8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保证金</w:t>
            </w:r>
          </w:p>
        </w:tc>
        <w:tc>
          <w:tcPr>
            <w:tcW w:w="1606" w:type="dxa"/>
            <w:tcBorders>
              <w:top w:val="single" w:color="auto" w:sz="2" w:space="0"/>
              <w:left w:val="single" w:color="auto" w:sz="2" w:space="0"/>
              <w:bottom w:val="single" w:color="auto" w:sz="2" w:space="0"/>
              <w:right w:val="single" w:color="auto" w:sz="2" w:space="0"/>
            </w:tcBorders>
            <w:vAlign w:val="center"/>
          </w:tcPr>
          <w:p w14:paraId="2DF246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w:t>
            </w:r>
          </w:p>
        </w:tc>
        <w:tc>
          <w:tcPr>
            <w:tcW w:w="1606" w:type="dxa"/>
            <w:tcBorders>
              <w:top w:val="single" w:color="auto" w:sz="2" w:space="0"/>
              <w:left w:val="single" w:color="auto" w:sz="2" w:space="0"/>
              <w:bottom w:val="single" w:color="auto" w:sz="2" w:space="0"/>
              <w:right w:val="single" w:color="auto" w:sz="2" w:space="0"/>
            </w:tcBorders>
            <w:vAlign w:val="center"/>
          </w:tcPr>
          <w:p w14:paraId="7CE7D0F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5年以上</w:t>
            </w:r>
          </w:p>
        </w:tc>
        <w:tc>
          <w:tcPr>
            <w:tcW w:w="1606" w:type="dxa"/>
            <w:tcBorders>
              <w:top w:val="single" w:color="auto" w:sz="2" w:space="0"/>
              <w:left w:val="single" w:color="auto" w:sz="2" w:space="0"/>
              <w:bottom w:val="single" w:color="auto" w:sz="2" w:space="0"/>
              <w:right w:val="single" w:color="auto" w:sz="2" w:space="0"/>
            </w:tcBorders>
            <w:vAlign w:val="center"/>
          </w:tcPr>
          <w:p w14:paraId="7D7C8F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0.12%</w:t>
            </w:r>
          </w:p>
        </w:tc>
        <w:tc>
          <w:tcPr>
            <w:tcW w:w="1606" w:type="dxa"/>
            <w:tcBorders>
              <w:top w:val="single" w:color="auto" w:sz="2" w:space="0"/>
              <w:left w:val="single" w:color="auto" w:sz="2" w:space="0"/>
              <w:bottom w:val="single" w:color="auto" w:sz="2" w:space="0"/>
              <w:right w:val="single" w:color="auto" w:sz="2" w:space="0"/>
            </w:tcBorders>
            <w:vAlign w:val="center"/>
          </w:tcPr>
          <w:p w14:paraId="299C6E40">
            <w:pPr>
              <w:spacing w:before="0" w:after="0" w:line="240" w:lineRule="exact"/>
              <w:jc w:val="right"/>
              <w:rPr>
                <w:rFonts w:ascii="宋体" w:hAnsi="宋体" w:eastAsia="宋体" w:cs="宋体"/>
                <w:color w:val="auto"/>
                <w:sz w:val="18"/>
                <w:szCs w:val="18"/>
              </w:rPr>
            </w:pPr>
          </w:p>
        </w:tc>
      </w:tr>
      <w:tr w14:paraId="03749B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545A94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EA421B">
            <w:pPr>
              <w:rPr>
                <w:color w:val="auto"/>
              </w:rPr>
            </w:pPr>
          </w:p>
        </w:tc>
        <w:tc>
          <w:tcPr>
            <w:tcW w:w="1606" w:type="dxa"/>
            <w:tcBorders>
              <w:top w:val="single" w:color="auto" w:sz="2" w:space="0"/>
              <w:left w:val="single" w:color="auto" w:sz="2" w:space="0"/>
              <w:bottom w:val="single" w:color="auto" w:sz="2" w:space="0"/>
              <w:right w:val="single" w:color="auto" w:sz="2" w:space="0"/>
            </w:tcBorders>
            <w:vAlign w:val="center"/>
          </w:tcPr>
          <w:p w14:paraId="187B2D2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39,776,451.28</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12EA87A">
            <w:pPr>
              <w:rPr>
                <w:color w:val="auto"/>
              </w:rPr>
            </w:pPr>
          </w:p>
        </w:tc>
        <w:tc>
          <w:tcPr>
            <w:tcW w:w="1606" w:type="dxa"/>
            <w:tcBorders>
              <w:top w:val="single" w:color="auto" w:sz="2" w:space="0"/>
              <w:left w:val="single" w:color="auto" w:sz="2" w:space="0"/>
              <w:bottom w:val="single" w:color="auto" w:sz="2" w:space="0"/>
              <w:right w:val="single" w:color="auto" w:sz="2" w:space="0"/>
            </w:tcBorders>
            <w:vAlign w:val="center"/>
          </w:tcPr>
          <w:p w14:paraId="46FA04E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98.89%</w:t>
            </w:r>
          </w:p>
        </w:tc>
        <w:tc>
          <w:tcPr>
            <w:tcW w:w="1606" w:type="dxa"/>
            <w:tcBorders>
              <w:top w:val="single" w:color="auto" w:sz="2" w:space="0"/>
              <w:left w:val="single" w:color="auto" w:sz="2" w:space="0"/>
              <w:bottom w:val="single" w:color="auto" w:sz="2" w:space="0"/>
              <w:right w:val="single" w:color="auto" w:sz="2" w:space="0"/>
            </w:tcBorders>
            <w:vAlign w:val="center"/>
          </w:tcPr>
          <w:p w14:paraId="4FCBFDAA">
            <w:pPr>
              <w:spacing w:before="0" w:after="0" w:line="240" w:lineRule="exact"/>
              <w:jc w:val="right"/>
              <w:rPr>
                <w:rFonts w:ascii="宋体" w:hAnsi="宋体" w:eastAsia="宋体" w:cs="宋体"/>
                <w:color w:val="auto"/>
                <w:sz w:val="18"/>
                <w:szCs w:val="18"/>
              </w:rPr>
            </w:pPr>
          </w:p>
        </w:tc>
      </w:tr>
    </w:tbl>
    <w:p w14:paraId="747FA47A">
      <w:pPr>
        <w:spacing w:before="100" w:after="100" w:line="0" w:lineRule="exact"/>
        <w:jc w:val="left"/>
        <w:rPr>
          <w:color w:val="auto"/>
        </w:rPr>
      </w:pPr>
    </w:p>
    <w:p w14:paraId="576CD964">
      <w:pPr>
        <w:keepNext/>
        <w:keepLines/>
        <w:spacing w:before="300" w:after="300" w:line="280" w:lineRule="exact"/>
        <w:jc w:val="left"/>
        <w:outlineLvl w:val="4"/>
        <w:rPr>
          <w:rFonts w:ascii="宋体" w:hAnsi="宋体" w:eastAsia="宋体" w:cs="宋体"/>
          <w:b/>
          <w:bCs/>
          <w:color w:val="auto"/>
          <w:sz w:val="18"/>
          <w:szCs w:val="18"/>
        </w:rPr>
      </w:pPr>
      <w:bookmarkStart w:id="451" w:name="_Toc989427"/>
      <w:r>
        <w:rPr>
          <w:rFonts w:ascii="宋体" w:hAnsi="宋体" w:eastAsia="宋体" w:cs="宋体"/>
          <w:b/>
          <w:bCs/>
          <w:color w:val="auto"/>
          <w:sz w:val="18"/>
          <w:szCs w:val="18"/>
        </w:rPr>
        <w:t>7）因资金集中管理而列报于其他应收款</w:t>
      </w:r>
      <w:bookmarkEnd w:id="451"/>
    </w:p>
    <w:p w14:paraId="19323656">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p w14:paraId="63ABCE51">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64B1E850">
      <w:pPr>
        <w:keepNext/>
        <w:keepLines/>
        <w:spacing w:before="300" w:after="300" w:line="280" w:lineRule="exact"/>
        <w:jc w:val="left"/>
        <w:outlineLvl w:val="2"/>
        <w:rPr>
          <w:rFonts w:ascii="宋体" w:hAnsi="宋体" w:eastAsia="宋体" w:cs="宋体"/>
          <w:b/>
          <w:bCs/>
          <w:color w:val="auto"/>
          <w:sz w:val="21"/>
          <w:szCs w:val="21"/>
        </w:rPr>
      </w:pPr>
      <w:bookmarkStart w:id="452" w:name="_Toc989428"/>
      <w:r>
        <w:rPr>
          <w:rFonts w:ascii="宋体" w:hAnsi="宋体" w:eastAsia="宋体" w:cs="宋体"/>
          <w:b/>
          <w:bCs/>
          <w:color w:val="auto"/>
          <w:sz w:val="21"/>
          <w:szCs w:val="21"/>
        </w:rPr>
        <w:t>3、长期股权投资</w:t>
      </w:r>
      <w:bookmarkEnd w:id="452"/>
    </w:p>
    <w:p w14:paraId="599D008C">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B3FE6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F5C070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29D7B1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76207D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w:t>
            </w:r>
          </w:p>
        </w:tc>
      </w:tr>
      <w:tr w14:paraId="40C8C6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B3D526">
            <w:pPr>
              <w:rPr>
                <w:color w:val="auto"/>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A7F2A2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CE4950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7D0E46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C4B1A0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F32CCB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43119E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账面价值</w:t>
            </w:r>
          </w:p>
        </w:tc>
      </w:tr>
      <w:tr w14:paraId="2762BD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D2573C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对子公司投资</w:t>
            </w:r>
          </w:p>
        </w:tc>
        <w:tc>
          <w:tcPr>
            <w:tcW w:w="1377" w:type="dxa"/>
            <w:tcBorders>
              <w:top w:val="single" w:color="auto" w:sz="2" w:space="0"/>
              <w:left w:val="single" w:color="auto" w:sz="2" w:space="0"/>
              <w:bottom w:val="single" w:color="auto" w:sz="2" w:space="0"/>
              <w:right w:val="single" w:color="auto" w:sz="2" w:space="0"/>
            </w:tcBorders>
            <w:vAlign w:val="center"/>
          </w:tcPr>
          <w:p w14:paraId="15D2CB3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681,537,500.00</w:t>
            </w:r>
          </w:p>
        </w:tc>
        <w:tc>
          <w:tcPr>
            <w:tcW w:w="1377" w:type="dxa"/>
            <w:tcBorders>
              <w:top w:val="single" w:color="auto" w:sz="2" w:space="0"/>
              <w:left w:val="single" w:color="auto" w:sz="2" w:space="0"/>
              <w:bottom w:val="single" w:color="auto" w:sz="2" w:space="0"/>
              <w:right w:val="single" w:color="auto" w:sz="2" w:space="0"/>
            </w:tcBorders>
            <w:vAlign w:val="center"/>
          </w:tcPr>
          <w:p w14:paraId="4A0F0DD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17,421,513.42</w:t>
            </w:r>
          </w:p>
        </w:tc>
        <w:tc>
          <w:tcPr>
            <w:tcW w:w="1377" w:type="dxa"/>
            <w:tcBorders>
              <w:top w:val="single" w:color="auto" w:sz="2" w:space="0"/>
              <w:left w:val="single" w:color="auto" w:sz="2" w:space="0"/>
              <w:bottom w:val="single" w:color="auto" w:sz="2" w:space="0"/>
              <w:right w:val="single" w:color="auto" w:sz="2" w:space="0"/>
            </w:tcBorders>
            <w:vAlign w:val="center"/>
          </w:tcPr>
          <w:p w14:paraId="5B26761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664,115,986.58</w:t>
            </w:r>
          </w:p>
        </w:tc>
        <w:tc>
          <w:tcPr>
            <w:tcW w:w="1377" w:type="dxa"/>
            <w:tcBorders>
              <w:top w:val="single" w:color="auto" w:sz="2" w:space="0"/>
              <w:left w:val="single" w:color="auto" w:sz="2" w:space="0"/>
              <w:bottom w:val="single" w:color="auto" w:sz="2" w:space="0"/>
              <w:right w:val="single" w:color="auto" w:sz="2" w:space="0"/>
            </w:tcBorders>
            <w:vAlign w:val="center"/>
          </w:tcPr>
          <w:p w14:paraId="01DE53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654,537,500.00</w:t>
            </w:r>
          </w:p>
        </w:tc>
        <w:tc>
          <w:tcPr>
            <w:tcW w:w="1377" w:type="dxa"/>
            <w:tcBorders>
              <w:top w:val="single" w:color="auto" w:sz="2" w:space="0"/>
              <w:left w:val="single" w:color="auto" w:sz="2" w:space="0"/>
              <w:bottom w:val="single" w:color="auto" w:sz="2" w:space="0"/>
              <w:right w:val="single" w:color="auto" w:sz="2" w:space="0"/>
            </w:tcBorders>
            <w:vAlign w:val="center"/>
          </w:tcPr>
          <w:p w14:paraId="39E050B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17,414,664.40</w:t>
            </w:r>
          </w:p>
        </w:tc>
        <w:tc>
          <w:tcPr>
            <w:tcW w:w="1377" w:type="dxa"/>
            <w:tcBorders>
              <w:top w:val="single" w:color="auto" w:sz="2" w:space="0"/>
              <w:left w:val="single" w:color="auto" w:sz="2" w:space="0"/>
              <w:bottom w:val="single" w:color="auto" w:sz="2" w:space="0"/>
              <w:right w:val="single" w:color="auto" w:sz="2" w:space="0"/>
            </w:tcBorders>
            <w:vAlign w:val="center"/>
          </w:tcPr>
          <w:p w14:paraId="6468216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637,122,835.60</w:t>
            </w:r>
          </w:p>
        </w:tc>
      </w:tr>
      <w:tr w14:paraId="6D6807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00B81C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对联营、合营企业投资</w:t>
            </w:r>
          </w:p>
        </w:tc>
        <w:tc>
          <w:tcPr>
            <w:tcW w:w="1377" w:type="dxa"/>
            <w:tcBorders>
              <w:top w:val="single" w:color="auto" w:sz="2" w:space="0"/>
              <w:left w:val="single" w:color="auto" w:sz="2" w:space="0"/>
              <w:bottom w:val="single" w:color="auto" w:sz="2" w:space="0"/>
              <w:right w:val="single" w:color="auto" w:sz="2" w:space="0"/>
            </w:tcBorders>
            <w:vAlign w:val="center"/>
          </w:tcPr>
          <w:p w14:paraId="074A63B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79,787,878.31</w:t>
            </w:r>
          </w:p>
        </w:tc>
        <w:tc>
          <w:tcPr>
            <w:tcW w:w="1377" w:type="dxa"/>
            <w:tcBorders>
              <w:top w:val="single" w:color="auto" w:sz="2" w:space="0"/>
              <w:left w:val="single" w:color="auto" w:sz="2" w:space="0"/>
              <w:bottom w:val="single" w:color="auto" w:sz="2" w:space="0"/>
              <w:right w:val="single" w:color="auto" w:sz="2" w:space="0"/>
            </w:tcBorders>
            <w:vAlign w:val="center"/>
          </w:tcPr>
          <w:p w14:paraId="399C7BD5">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C94C61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79,787,878.31</w:t>
            </w:r>
          </w:p>
        </w:tc>
        <w:tc>
          <w:tcPr>
            <w:tcW w:w="1377" w:type="dxa"/>
            <w:tcBorders>
              <w:top w:val="single" w:color="auto" w:sz="2" w:space="0"/>
              <w:left w:val="single" w:color="auto" w:sz="2" w:space="0"/>
              <w:bottom w:val="single" w:color="auto" w:sz="2" w:space="0"/>
              <w:right w:val="single" w:color="auto" w:sz="2" w:space="0"/>
            </w:tcBorders>
            <w:vAlign w:val="center"/>
          </w:tcPr>
          <w:p w14:paraId="71FAB0B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80,177,607.81</w:t>
            </w:r>
          </w:p>
        </w:tc>
        <w:tc>
          <w:tcPr>
            <w:tcW w:w="1377" w:type="dxa"/>
            <w:tcBorders>
              <w:top w:val="single" w:color="auto" w:sz="2" w:space="0"/>
              <w:left w:val="single" w:color="auto" w:sz="2" w:space="0"/>
              <w:bottom w:val="single" w:color="auto" w:sz="2" w:space="0"/>
              <w:right w:val="single" w:color="auto" w:sz="2" w:space="0"/>
            </w:tcBorders>
            <w:vAlign w:val="center"/>
          </w:tcPr>
          <w:p w14:paraId="6783FD30">
            <w:pPr>
              <w:spacing w:before="0" w:after="0" w:line="240" w:lineRule="exact"/>
              <w:jc w:val="right"/>
              <w:rPr>
                <w:rFonts w:ascii="宋体" w:hAnsi="宋体" w:eastAsia="宋体" w:cs="宋体"/>
                <w:color w:val="auto"/>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073F2B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80,177,607.81</w:t>
            </w:r>
          </w:p>
        </w:tc>
      </w:tr>
      <w:tr w14:paraId="2A2D53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B572B2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20DEA3F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761,325,378.31</w:t>
            </w:r>
          </w:p>
        </w:tc>
        <w:tc>
          <w:tcPr>
            <w:tcW w:w="1377" w:type="dxa"/>
            <w:tcBorders>
              <w:top w:val="single" w:color="auto" w:sz="2" w:space="0"/>
              <w:left w:val="single" w:color="auto" w:sz="2" w:space="0"/>
              <w:bottom w:val="single" w:color="auto" w:sz="2" w:space="0"/>
              <w:right w:val="single" w:color="auto" w:sz="2" w:space="0"/>
            </w:tcBorders>
            <w:vAlign w:val="center"/>
          </w:tcPr>
          <w:p w14:paraId="32583C4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17,421,513.42</w:t>
            </w:r>
          </w:p>
        </w:tc>
        <w:tc>
          <w:tcPr>
            <w:tcW w:w="1377" w:type="dxa"/>
            <w:tcBorders>
              <w:top w:val="single" w:color="auto" w:sz="2" w:space="0"/>
              <w:left w:val="single" w:color="auto" w:sz="2" w:space="0"/>
              <w:bottom w:val="single" w:color="auto" w:sz="2" w:space="0"/>
              <w:right w:val="single" w:color="auto" w:sz="2" w:space="0"/>
            </w:tcBorders>
            <w:vAlign w:val="center"/>
          </w:tcPr>
          <w:p w14:paraId="771E34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743,903,864.89</w:t>
            </w:r>
          </w:p>
        </w:tc>
        <w:tc>
          <w:tcPr>
            <w:tcW w:w="1377" w:type="dxa"/>
            <w:tcBorders>
              <w:top w:val="single" w:color="auto" w:sz="2" w:space="0"/>
              <w:left w:val="single" w:color="auto" w:sz="2" w:space="0"/>
              <w:bottom w:val="single" w:color="auto" w:sz="2" w:space="0"/>
              <w:right w:val="single" w:color="auto" w:sz="2" w:space="0"/>
            </w:tcBorders>
            <w:vAlign w:val="center"/>
          </w:tcPr>
          <w:p w14:paraId="2D8D8F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734,715,107.81</w:t>
            </w:r>
          </w:p>
        </w:tc>
        <w:tc>
          <w:tcPr>
            <w:tcW w:w="1377" w:type="dxa"/>
            <w:tcBorders>
              <w:top w:val="single" w:color="auto" w:sz="2" w:space="0"/>
              <w:left w:val="single" w:color="auto" w:sz="2" w:space="0"/>
              <w:bottom w:val="single" w:color="auto" w:sz="2" w:space="0"/>
              <w:right w:val="single" w:color="auto" w:sz="2" w:space="0"/>
            </w:tcBorders>
            <w:vAlign w:val="center"/>
          </w:tcPr>
          <w:p w14:paraId="2F62C0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17,414,664.40</w:t>
            </w:r>
          </w:p>
        </w:tc>
        <w:tc>
          <w:tcPr>
            <w:tcW w:w="1377" w:type="dxa"/>
            <w:tcBorders>
              <w:top w:val="single" w:color="auto" w:sz="2" w:space="0"/>
              <w:left w:val="single" w:color="auto" w:sz="2" w:space="0"/>
              <w:bottom w:val="single" w:color="auto" w:sz="2" w:space="0"/>
              <w:right w:val="single" w:color="auto" w:sz="2" w:space="0"/>
            </w:tcBorders>
            <w:vAlign w:val="center"/>
          </w:tcPr>
          <w:p w14:paraId="2CBE799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717,300,443.41</w:t>
            </w:r>
          </w:p>
        </w:tc>
      </w:tr>
    </w:tbl>
    <w:p w14:paraId="496FE279">
      <w:pPr>
        <w:keepNext/>
        <w:keepLines/>
        <w:spacing w:before="300" w:after="300" w:line="280" w:lineRule="exact"/>
        <w:jc w:val="left"/>
        <w:outlineLvl w:val="3"/>
        <w:rPr>
          <w:rFonts w:ascii="宋体" w:hAnsi="宋体" w:eastAsia="宋体" w:cs="宋体"/>
          <w:b/>
          <w:bCs/>
          <w:color w:val="auto"/>
          <w:sz w:val="21"/>
          <w:szCs w:val="21"/>
        </w:rPr>
      </w:pPr>
      <w:bookmarkStart w:id="453" w:name="_Toc989429"/>
      <w:r>
        <w:rPr>
          <w:rFonts w:ascii="宋体" w:hAnsi="宋体" w:eastAsia="宋体" w:cs="宋体"/>
          <w:b/>
          <w:bCs/>
          <w:color w:val="auto"/>
          <w:sz w:val="21"/>
          <w:szCs w:val="21"/>
        </w:rPr>
        <w:t>（1）对子公司投资</w:t>
      </w:r>
      <w:bookmarkEnd w:id="453"/>
    </w:p>
    <w:p w14:paraId="0768B192">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074ACC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C7E493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被投资单位</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CCEC3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期初余额（账面价值）</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B7B3A3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减值准备期初余额</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3504B23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本期增减变动</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C55437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期末余额（账面价值）</w:t>
            </w:r>
          </w:p>
        </w:tc>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00FAA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减值准备期末余额</w:t>
            </w:r>
          </w:p>
        </w:tc>
      </w:tr>
      <w:tr w14:paraId="1E84B9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EB5B81C">
            <w:pPr>
              <w:rPr>
                <w:color w:val="auto"/>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2FDC87D">
            <w:pPr>
              <w:rPr>
                <w:color w:val="auto"/>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014E8F8">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E0C005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追加投资</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79CBD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减少投资</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FE59EB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计提减值准备</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3BE12A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3005761">
            <w:pPr>
              <w:rPr>
                <w:color w:val="auto"/>
              </w:rPr>
            </w:pPr>
          </w:p>
        </w:tc>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A206A07">
            <w:pPr>
              <w:rPr>
                <w:color w:val="auto"/>
              </w:rPr>
            </w:pPr>
          </w:p>
        </w:tc>
      </w:tr>
      <w:tr w14:paraId="75E3DF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4AC5A3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福建广生堂医药销售有限公司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666E148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4,123,384.40</w:t>
            </w:r>
          </w:p>
        </w:tc>
        <w:tc>
          <w:tcPr>
            <w:tcW w:w="1071" w:type="dxa"/>
            <w:tcBorders>
              <w:top w:val="single" w:color="auto" w:sz="2" w:space="0"/>
              <w:left w:val="single" w:color="auto" w:sz="2" w:space="0"/>
              <w:bottom w:val="single" w:color="auto" w:sz="2" w:space="0"/>
              <w:right w:val="single" w:color="auto" w:sz="2" w:space="0"/>
            </w:tcBorders>
            <w:vAlign w:val="center"/>
          </w:tcPr>
          <w:p w14:paraId="06FA033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10,876,615.60</w:t>
            </w:r>
          </w:p>
        </w:tc>
        <w:tc>
          <w:tcPr>
            <w:tcW w:w="1071" w:type="dxa"/>
            <w:tcBorders>
              <w:top w:val="single" w:color="auto" w:sz="2" w:space="0"/>
              <w:left w:val="single" w:color="auto" w:sz="2" w:space="0"/>
              <w:bottom w:val="single" w:color="auto" w:sz="2" w:space="0"/>
              <w:right w:val="single" w:color="auto" w:sz="2" w:space="0"/>
            </w:tcBorders>
            <w:vAlign w:val="center"/>
          </w:tcPr>
          <w:p w14:paraId="186E16B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2064EE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62E78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6,849.02</w:t>
            </w:r>
          </w:p>
        </w:tc>
        <w:tc>
          <w:tcPr>
            <w:tcW w:w="1071" w:type="dxa"/>
            <w:tcBorders>
              <w:top w:val="single" w:color="auto" w:sz="2" w:space="0"/>
              <w:left w:val="single" w:color="auto" w:sz="2" w:space="0"/>
              <w:bottom w:val="single" w:color="auto" w:sz="2" w:space="0"/>
              <w:right w:val="single" w:color="auto" w:sz="2" w:space="0"/>
            </w:tcBorders>
            <w:vAlign w:val="center"/>
          </w:tcPr>
          <w:p w14:paraId="5B99391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7190FB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4,116,535.38</w:t>
            </w:r>
          </w:p>
        </w:tc>
        <w:tc>
          <w:tcPr>
            <w:tcW w:w="1071" w:type="dxa"/>
            <w:tcBorders>
              <w:top w:val="single" w:color="auto" w:sz="2" w:space="0"/>
              <w:left w:val="single" w:color="auto" w:sz="2" w:space="0"/>
              <w:bottom w:val="single" w:color="auto" w:sz="2" w:space="0"/>
              <w:right w:val="single" w:color="auto" w:sz="2" w:space="0"/>
            </w:tcBorders>
            <w:vAlign w:val="center"/>
          </w:tcPr>
          <w:p w14:paraId="72A36F9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10,883,464.62</w:t>
            </w:r>
          </w:p>
        </w:tc>
      </w:tr>
      <w:tr w14:paraId="088EE9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77CBC6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福建广生医院有限公司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5A42998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3,961,951.20</w:t>
            </w:r>
          </w:p>
        </w:tc>
        <w:tc>
          <w:tcPr>
            <w:tcW w:w="1071" w:type="dxa"/>
            <w:tcBorders>
              <w:top w:val="single" w:color="auto" w:sz="2" w:space="0"/>
              <w:left w:val="single" w:color="auto" w:sz="2" w:space="0"/>
              <w:bottom w:val="single" w:color="auto" w:sz="2" w:space="0"/>
              <w:right w:val="single" w:color="auto" w:sz="2" w:space="0"/>
            </w:tcBorders>
            <w:vAlign w:val="center"/>
          </w:tcPr>
          <w:p w14:paraId="4D653EF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6,538,048.80</w:t>
            </w:r>
          </w:p>
        </w:tc>
        <w:tc>
          <w:tcPr>
            <w:tcW w:w="1071" w:type="dxa"/>
            <w:tcBorders>
              <w:top w:val="single" w:color="auto" w:sz="2" w:space="0"/>
              <w:left w:val="single" w:color="auto" w:sz="2" w:space="0"/>
              <w:bottom w:val="single" w:color="auto" w:sz="2" w:space="0"/>
              <w:right w:val="single" w:color="auto" w:sz="2" w:space="0"/>
            </w:tcBorders>
            <w:vAlign w:val="center"/>
          </w:tcPr>
          <w:p w14:paraId="02377748">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4627A6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4D2D61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49543D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884B66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3,961,951.20</w:t>
            </w:r>
          </w:p>
        </w:tc>
        <w:tc>
          <w:tcPr>
            <w:tcW w:w="1071" w:type="dxa"/>
            <w:tcBorders>
              <w:top w:val="single" w:color="auto" w:sz="2" w:space="0"/>
              <w:left w:val="single" w:color="auto" w:sz="2" w:space="0"/>
              <w:bottom w:val="single" w:color="auto" w:sz="2" w:space="0"/>
              <w:right w:val="single" w:color="auto" w:sz="2" w:space="0"/>
            </w:tcBorders>
            <w:vAlign w:val="center"/>
          </w:tcPr>
          <w:p w14:paraId="5C4AE78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6,538,048.80</w:t>
            </w:r>
          </w:p>
        </w:tc>
      </w:tr>
      <w:tr w14:paraId="57B1AE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D86252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福建广生堂金塘药业有限公司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28DA4EA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150,000,000.00</w:t>
            </w:r>
          </w:p>
        </w:tc>
        <w:tc>
          <w:tcPr>
            <w:tcW w:w="1071" w:type="dxa"/>
            <w:tcBorders>
              <w:top w:val="single" w:color="auto" w:sz="2" w:space="0"/>
              <w:left w:val="single" w:color="auto" w:sz="2" w:space="0"/>
              <w:bottom w:val="single" w:color="auto" w:sz="2" w:space="0"/>
              <w:right w:val="single" w:color="auto" w:sz="2" w:space="0"/>
            </w:tcBorders>
            <w:vAlign w:val="center"/>
          </w:tcPr>
          <w:p w14:paraId="1907D67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98030A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B0825D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4877E4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B5580A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3BD9B1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150,000,000.00</w:t>
            </w:r>
          </w:p>
        </w:tc>
        <w:tc>
          <w:tcPr>
            <w:tcW w:w="1071" w:type="dxa"/>
            <w:tcBorders>
              <w:top w:val="single" w:color="auto" w:sz="2" w:space="0"/>
              <w:left w:val="single" w:color="auto" w:sz="2" w:space="0"/>
              <w:bottom w:val="single" w:color="auto" w:sz="2" w:space="0"/>
              <w:right w:val="single" w:color="auto" w:sz="2" w:space="0"/>
            </w:tcBorders>
            <w:vAlign w:val="center"/>
          </w:tcPr>
          <w:p w14:paraId="3773386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2CA748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E36DE9E">
            <w:pPr>
              <w:spacing w:before="0" w:after="0" w:line="240" w:lineRule="exact"/>
              <w:jc w:val="left"/>
              <w:rPr>
                <w:rFonts w:ascii="宋体" w:hAnsi="宋体" w:eastAsia="宋体" w:cs="宋体"/>
                <w:color w:val="auto"/>
                <w:sz w:val="18"/>
                <w:szCs w:val="18"/>
              </w:rPr>
            </w:pPr>
            <w:r>
              <w:rPr>
                <w:rFonts w:hint="eastAsia" w:ascii="宋体" w:hAnsi="宋体" w:eastAsia="宋体" w:cs="宋体"/>
                <w:color w:val="auto"/>
                <w:sz w:val="18"/>
                <w:szCs w:val="18"/>
              </w:rPr>
              <w:t>广生堂中兴（江苏）药业有限公司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00884C6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148,037,500.00</w:t>
            </w:r>
          </w:p>
        </w:tc>
        <w:tc>
          <w:tcPr>
            <w:tcW w:w="1071" w:type="dxa"/>
            <w:tcBorders>
              <w:top w:val="single" w:color="auto" w:sz="2" w:space="0"/>
              <w:left w:val="single" w:color="auto" w:sz="2" w:space="0"/>
              <w:bottom w:val="single" w:color="auto" w:sz="2" w:space="0"/>
              <w:right w:val="single" w:color="auto" w:sz="2" w:space="0"/>
            </w:tcBorders>
            <w:vAlign w:val="center"/>
          </w:tcPr>
          <w:p w14:paraId="36689DE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B0D547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54D13A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5B653B8">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B1EEDE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B3FAC7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148,037,500.00</w:t>
            </w:r>
          </w:p>
        </w:tc>
        <w:tc>
          <w:tcPr>
            <w:tcW w:w="1071" w:type="dxa"/>
            <w:tcBorders>
              <w:top w:val="single" w:color="auto" w:sz="2" w:space="0"/>
              <w:left w:val="single" w:color="auto" w:sz="2" w:space="0"/>
              <w:bottom w:val="single" w:color="auto" w:sz="2" w:space="0"/>
              <w:right w:val="single" w:color="auto" w:sz="2" w:space="0"/>
            </w:tcBorders>
            <w:vAlign w:val="center"/>
          </w:tcPr>
          <w:p w14:paraId="34A6F92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60EA39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27A7BE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福建广生中霖生物科技有限公司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45A0430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315,000,000.00</w:t>
            </w:r>
          </w:p>
        </w:tc>
        <w:tc>
          <w:tcPr>
            <w:tcW w:w="1071" w:type="dxa"/>
            <w:tcBorders>
              <w:top w:val="single" w:color="auto" w:sz="2" w:space="0"/>
              <w:left w:val="single" w:color="auto" w:sz="2" w:space="0"/>
              <w:bottom w:val="single" w:color="auto" w:sz="2" w:space="0"/>
              <w:right w:val="single" w:color="auto" w:sz="2" w:space="0"/>
            </w:tcBorders>
            <w:vAlign w:val="center"/>
          </w:tcPr>
          <w:p w14:paraId="3F09152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54D0F3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EBE4A2F">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7FBE6D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6752EE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2E6D4F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315,000,000.00</w:t>
            </w:r>
          </w:p>
        </w:tc>
        <w:tc>
          <w:tcPr>
            <w:tcW w:w="1071" w:type="dxa"/>
            <w:tcBorders>
              <w:top w:val="single" w:color="auto" w:sz="2" w:space="0"/>
              <w:left w:val="single" w:color="auto" w:sz="2" w:space="0"/>
              <w:bottom w:val="single" w:color="auto" w:sz="2" w:space="0"/>
              <w:right w:val="single" w:color="auto" w:sz="2" w:space="0"/>
            </w:tcBorders>
            <w:vAlign w:val="center"/>
          </w:tcPr>
          <w:p w14:paraId="0F87240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489180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A2BFC2E">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广喆来药业（福建）有限公司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0869484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15,000,000.00</w:t>
            </w:r>
          </w:p>
        </w:tc>
        <w:tc>
          <w:tcPr>
            <w:tcW w:w="1071" w:type="dxa"/>
            <w:tcBorders>
              <w:top w:val="single" w:color="auto" w:sz="2" w:space="0"/>
              <w:left w:val="single" w:color="auto" w:sz="2" w:space="0"/>
              <w:bottom w:val="single" w:color="auto" w:sz="2" w:space="0"/>
              <w:right w:val="single" w:color="auto" w:sz="2" w:space="0"/>
            </w:tcBorders>
            <w:vAlign w:val="center"/>
          </w:tcPr>
          <w:p w14:paraId="31AF13F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B135C2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23,000,000.00</w:t>
            </w:r>
          </w:p>
        </w:tc>
        <w:tc>
          <w:tcPr>
            <w:tcW w:w="1071" w:type="dxa"/>
            <w:tcBorders>
              <w:top w:val="single" w:color="auto" w:sz="2" w:space="0"/>
              <w:left w:val="single" w:color="auto" w:sz="2" w:space="0"/>
              <w:bottom w:val="single" w:color="auto" w:sz="2" w:space="0"/>
              <w:right w:val="single" w:color="auto" w:sz="2" w:space="0"/>
            </w:tcBorders>
            <w:vAlign w:val="center"/>
          </w:tcPr>
          <w:p w14:paraId="581B077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B3C860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76B109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E6C63D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38,000,000.00</w:t>
            </w:r>
          </w:p>
        </w:tc>
        <w:tc>
          <w:tcPr>
            <w:tcW w:w="1071" w:type="dxa"/>
            <w:tcBorders>
              <w:top w:val="single" w:color="auto" w:sz="2" w:space="0"/>
              <w:left w:val="single" w:color="auto" w:sz="2" w:space="0"/>
              <w:bottom w:val="single" w:color="auto" w:sz="2" w:space="0"/>
              <w:right w:val="single" w:color="auto" w:sz="2" w:space="0"/>
            </w:tcBorders>
            <w:vAlign w:val="center"/>
          </w:tcPr>
          <w:p w14:paraId="58F5821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0394DD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D57BB17">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广生堂药业（漳州）有限公司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04F3D9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1,000,000.00</w:t>
            </w:r>
          </w:p>
        </w:tc>
        <w:tc>
          <w:tcPr>
            <w:tcW w:w="1071" w:type="dxa"/>
            <w:tcBorders>
              <w:top w:val="single" w:color="auto" w:sz="2" w:space="0"/>
              <w:left w:val="single" w:color="auto" w:sz="2" w:space="0"/>
              <w:bottom w:val="single" w:color="auto" w:sz="2" w:space="0"/>
              <w:right w:val="single" w:color="auto" w:sz="2" w:space="0"/>
            </w:tcBorders>
            <w:vAlign w:val="center"/>
          </w:tcPr>
          <w:p w14:paraId="61F62A0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E6D30A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4,000,000.00</w:t>
            </w:r>
          </w:p>
        </w:tc>
        <w:tc>
          <w:tcPr>
            <w:tcW w:w="1071" w:type="dxa"/>
            <w:tcBorders>
              <w:top w:val="single" w:color="auto" w:sz="2" w:space="0"/>
              <w:left w:val="single" w:color="auto" w:sz="2" w:space="0"/>
              <w:bottom w:val="single" w:color="auto" w:sz="2" w:space="0"/>
              <w:right w:val="single" w:color="auto" w:sz="2" w:space="0"/>
            </w:tcBorders>
            <w:vAlign w:val="center"/>
          </w:tcPr>
          <w:p w14:paraId="383B33B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8C1E9FF">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46BBEF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59A834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5,000,000.00</w:t>
            </w:r>
          </w:p>
        </w:tc>
        <w:tc>
          <w:tcPr>
            <w:tcW w:w="1071" w:type="dxa"/>
            <w:tcBorders>
              <w:top w:val="single" w:color="auto" w:sz="2" w:space="0"/>
              <w:left w:val="single" w:color="auto" w:sz="2" w:space="0"/>
              <w:bottom w:val="single" w:color="auto" w:sz="2" w:space="0"/>
              <w:right w:val="single" w:color="auto" w:sz="2" w:space="0"/>
            </w:tcBorders>
            <w:vAlign w:val="center"/>
          </w:tcPr>
          <w:p w14:paraId="24A4F3BA">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r>
      <w:tr w14:paraId="7E97C6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12E094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460A06A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637,122,835.60</w:t>
            </w:r>
          </w:p>
        </w:tc>
        <w:tc>
          <w:tcPr>
            <w:tcW w:w="1071" w:type="dxa"/>
            <w:tcBorders>
              <w:top w:val="single" w:color="auto" w:sz="2" w:space="0"/>
              <w:left w:val="single" w:color="auto" w:sz="2" w:space="0"/>
              <w:bottom w:val="single" w:color="auto" w:sz="2" w:space="0"/>
              <w:right w:val="single" w:color="auto" w:sz="2" w:space="0"/>
            </w:tcBorders>
            <w:vAlign w:val="center"/>
          </w:tcPr>
          <w:p w14:paraId="3B832DC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17,414,664.40</w:t>
            </w:r>
          </w:p>
        </w:tc>
        <w:tc>
          <w:tcPr>
            <w:tcW w:w="1071" w:type="dxa"/>
            <w:tcBorders>
              <w:top w:val="single" w:color="auto" w:sz="2" w:space="0"/>
              <w:left w:val="single" w:color="auto" w:sz="2" w:space="0"/>
              <w:bottom w:val="single" w:color="auto" w:sz="2" w:space="0"/>
              <w:right w:val="single" w:color="auto" w:sz="2" w:space="0"/>
            </w:tcBorders>
            <w:vAlign w:val="center"/>
          </w:tcPr>
          <w:p w14:paraId="2CD02F8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27,000,000.00</w:t>
            </w:r>
          </w:p>
        </w:tc>
        <w:tc>
          <w:tcPr>
            <w:tcW w:w="1071" w:type="dxa"/>
            <w:tcBorders>
              <w:top w:val="single" w:color="auto" w:sz="2" w:space="0"/>
              <w:left w:val="single" w:color="auto" w:sz="2" w:space="0"/>
              <w:bottom w:val="single" w:color="auto" w:sz="2" w:space="0"/>
              <w:right w:val="single" w:color="auto" w:sz="2" w:space="0"/>
            </w:tcBorders>
            <w:vAlign w:val="center"/>
          </w:tcPr>
          <w:p w14:paraId="5F2FEDA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1071" w:type="dxa"/>
            <w:tcBorders>
              <w:top w:val="single" w:color="auto" w:sz="2" w:space="0"/>
              <w:left w:val="single" w:color="auto" w:sz="2" w:space="0"/>
              <w:bottom w:val="single" w:color="auto" w:sz="2" w:space="0"/>
              <w:right w:val="single" w:color="auto" w:sz="2" w:space="0"/>
            </w:tcBorders>
            <w:vAlign w:val="center"/>
          </w:tcPr>
          <w:p w14:paraId="72D1731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6,849.02</w:t>
            </w:r>
          </w:p>
        </w:tc>
        <w:tc>
          <w:tcPr>
            <w:tcW w:w="1071" w:type="dxa"/>
            <w:tcBorders>
              <w:top w:val="single" w:color="auto" w:sz="2" w:space="0"/>
              <w:left w:val="single" w:color="auto" w:sz="2" w:space="0"/>
              <w:bottom w:val="single" w:color="auto" w:sz="2" w:space="0"/>
              <w:right w:val="single" w:color="auto" w:sz="2" w:space="0"/>
            </w:tcBorders>
            <w:vAlign w:val="center"/>
          </w:tcPr>
          <w:p w14:paraId="7EA5816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0.00</w:t>
            </w:r>
          </w:p>
        </w:tc>
        <w:tc>
          <w:tcPr>
            <w:tcW w:w="1071" w:type="dxa"/>
            <w:tcBorders>
              <w:top w:val="single" w:color="auto" w:sz="2" w:space="0"/>
              <w:left w:val="single" w:color="auto" w:sz="2" w:space="0"/>
              <w:bottom w:val="single" w:color="auto" w:sz="2" w:space="0"/>
              <w:right w:val="single" w:color="auto" w:sz="2" w:space="0"/>
            </w:tcBorders>
            <w:vAlign w:val="center"/>
          </w:tcPr>
          <w:p w14:paraId="564B572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664,115,986.58</w:t>
            </w:r>
          </w:p>
        </w:tc>
        <w:tc>
          <w:tcPr>
            <w:tcW w:w="1071" w:type="dxa"/>
            <w:tcBorders>
              <w:top w:val="single" w:color="auto" w:sz="2" w:space="0"/>
              <w:left w:val="single" w:color="auto" w:sz="2" w:space="0"/>
              <w:bottom w:val="single" w:color="auto" w:sz="2" w:space="0"/>
              <w:right w:val="single" w:color="auto" w:sz="2" w:space="0"/>
            </w:tcBorders>
            <w:vAlign w:val="center"/>
          </w:tcPr>
          <w:p w14:paraId="007D6ED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17,421,513.42</w:t>
            </w:r>
          </w:p>
        </w:tc>
      </w:tr>
    </w:tbl>
    <w:p w14:paraId="13DD8E66">
      <w:pPr>
        <w:keepNext/>
        <w:keepLines/>
        <w:spacing w:before="300" w:after="300" w:line="280" w:lineRule="exact"/>
        <w:jc w:val="left"/>
        <w:outlineLvl w:val="3"/>
        <w:rPr>
          <w:rFonts w:ascii="宋体" w:hAnsi="宋体" w:eastAsia="宋体" w:cs="宋体"/>
          <w:b/>
          <w:bCs/>
          <w:color w:val="auto"/>
          <w:sz w:val="21"/>
          <w:szCs w:val="21"/>
        </w:rPr>
      </w:pPr>
      <w:bookmarkStart w:id="454" w:name="_Toc989430"/>
      <w:r>
        <w:rPr>
          <w:rFonts w:ascii="宋体" w:hAnsi="宋体" w:eastAsia="宋体" w:cs="宋体"/>
          <w:b/>
          <w:bCs/>
          <w:color w:val="auto"/>
          <w:sz w:val="21"/>
          <w:szCs w:val="21"/>
        </w:rPr>
        <w:t>（2）对联营、合营企业投资</w:t>
      </w:r>
      <w:bookmarkEnd w:id="454"/>
    </w:p>
    <w:p w14:paraId="0C9BA2C0">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1"/>
        <w:gridCol w:w="741"/>
        <w:gridCol w:w="741"/>
      </w:tblGrid>
      <w:tr w14:paraId="42F753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AA66F4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投资单位</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761208A">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期初余额（账面价值）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DD316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减值准备期初余额</w:t>
            </w:r>
          </w:p>
        </w:tc>
        <w:tc>
          <w:tcPr>
            <w:tcW w:w="5932" w:type="dxa"/>
            <w:gridSpan w:val="8"/>
            <w:tcBorders>
              <w:top w:val="single" w:color="auto" w:sz="2" w:space="0"/>
              <w:left w:val="single" w:color="auto" w:sz="2" w:space="0"/>
              <w:bottom w:val="single" w:color="auto" w:sz="2" w:space="0"/>
              <w:right w:val="single" w:color="auto" w:sz="2" w:space="0"/>
            </w:tcBorders>
            <w:shd w:val="clear" w:color="auto" w:fill="D3D3D3"/>
            <w:vAlign w:val="center"/>
          </w:tcPr>
          <w:p w14:paraId="555E2AC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本期增减变动</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5E7D9E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期末余额（账面价值）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CAF50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减值准备期末余额</w:t>
            </w:r>
          </w:p>
        </w:tc>
      </w:tr>
      <w:tr w14:paraId="26302F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D591BFA">
            <w:pPr>
              <w:rPr>
                <w:color w:val="auto"/>
              </w:rPr>
            </w:pP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247DFE">
            <w:pPr>
              <w:rPr>
                <w:color w:val="auto"/>
              </w:rPr>
            </w:pP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C311FD3">
            <w:pPr>
              <w:rPr>
                <w:color w:val="auto"/>
              </w:rPr>
            </w:pP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EA34E37">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追加投资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DE94DB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减少投资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DA2590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权益法下确认的投资损益</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2BA6EB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其他综合收益调整</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54142C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其他权益变动</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CF00D7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宣告发放现金股利或利润</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AE9528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计提减值准备</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F10AAA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9543AD">
            <w:pPr>
              <w:rPr>
                <w:color w:val="auto"/>
              </w:rPr>
            </w:pP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BE8C38C">
            <w:pPr>
              <w:rPr>
                <w:color w:val="auto"/>
              </w:rPr>
            </w:pPr>
          </w:p>
        </w:tc>
      </w:tr>
      <w:tr w14:paraId="73BEB1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5471E1A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一、合营企业</w:t>
            </w:r>
          </w:p>
        </w:tc>
      </w:tr>
      <w:tr w14:paraId="1B2EB1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346C0F3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二、联营企业</w:t>
            </w:r>
          </w:p>
        </w:tc>
      </w:tr>
      <w:tr w14:paraId="007FB6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1AF8DE81">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福建博奥医学检验所有限公司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44F3B96E">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33,370,813.09</w:t>
            </w:r>
          </w:p>
        </w:tc>
        <w:tc>
          <w:tcPr>
            <w:tcW w:w="741" w:type="dxa"/>
            <w:tcBorders>
              <w:top w:val="single" w:color="auto" w:sz="2" w:space="0"/>
              <w:left w:val="single" w:color="auto" w:sz="2" w:space="0"/>
              <w:bottom w:val="single" w:color="auto" w:sz="2" w:space="0"/>
              <w:right w:val="single" w:color="auto" w:sz="2" w:space="0"/>
            </w:tcBorders>
            <w:vAlign w:val="center"/>
          </w:tcPr>
          <w:p w14:paraId="12490056">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F737723">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FD863B3">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D9F799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-2,719,261.11</w:t>
            </w:r>
          </w:p>
        </w:tc>
        <w:tc>
          <w:tcPr>
            <w:tcW w:w="741" w:type="dxa"/>
            <w:tcBorders>
              <w:top w:val="single" w:color="auto" w:sz="2" w:space="0"/>
              <w:left w:val="single" w:color="auto" w:sz="2" w:space="0"/>
              <w:bottom w:val="single" w:color="auto" w:sz="2" w:space="0"/>
              <w:right w:val="single" w:color="auto" w:sz="2" w:space="0"/>
            </w:tcBorders>
            <w:vAlign w:val="center"/>
          </w:tcPr>
          <w:p w14:paraId="2DF7F89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5D44FF6">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C1B99E4">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7AA3FF4">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343F2735">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CD727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30,651,551.98</w:t>
            </w:r>
          </w:p>
        </w:tc>
        <w:tc>
          <w:tcPr>
            <w:tcW w:w="741" w:type="dxa"/>
            <w:tcBorders>
              <w:top w:val="single" w:color="auto" w:sz="2" w:space="0"/>
              <w:left w:val="single" w:color="auto" w:sz="2" w:space="0"/>
              <w:bottom w:val="single" w:color="auto" w:sz="2" w:space="0"/>
              <w:right w:val="single" w:color="auto" w:sz="2" w:space="0"/>
            </w:tcBorders>
            <w:vAlign w:val="center"/>
          </w:tcPr>
          <w:p w14:paraId="29E3791F">
            <w:pPr>
              <w:spacing w:before="0" w:after="0" w:line="240" w:lineRule="exact"/>
              <w:jc w:val="right"/>
              <w:rPr>
                <w:rFonts w:ascii="宋体" w:hAnsi="宋体" w:eastAsia="宋体" w:cs="宋体"/>
                <w:color w:val="auto"/>
                <w:sz w:val="18"/>
                <w:szCs w:val="18"/>
              </w:rPr>
            </w:pPr>
          </w:p>
        </w:tc>
      </w:tr>
      <w:tr w14:paraId="485430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2CA7212F">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福建广明方医药投资研发中心（有限合伙）</w:t>
            </w:r>
          </w:p>
        </w:tc>
        <w:tc>
          <w:tcPr>
            <w:tcW w:w="741" w:type="dxa"/>
            <w:tcBorders>
              <w:top w:val="single" w:color="auto" w:sz="2" w:space="0"/>
              <w:left w:val="single" w:color="auto" w:sz="2" w:space="0"/>
              <w:bottom w:val="single" w:color="auto" w:sz="2" w:space="0"/>
              <w:right w:val="single" w:color="auto" w:sz="2" w:space="0"/>
            </w:tcBorders>
            <w:vAlign w:val="center"/>
          </w:tcPr>
          <w:p w14:paraId="58982F4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40,000,532.62</w:t>
            </w:r>
          </w:p>
        </w:tc>
        <w:tc>
          <w:tcPr>
            <w:tcW w:w="741" w:type="dxa"/>
            <w:tcBorders>
              <w:top w:val="single" w:color="auto" w:sz="2" w:space="0"/>
              <w:left w:val="single" w:color="auto" w:sz="2" w:space="0"/>
              <w:bottom w:val="single" w:color="auto" w:sz="2" w:space="0"/>
              <w:right w:val="single" w:color="auto" w:sz="2" w:space="0"/>
            </w:tcBorders>
            <w:vAlign w:val="center"/>
          </w:tcPr>
          <w:p w14:paraId="212DB2EE">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A5F8848">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12B15E1">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8BED75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89.00</w:t>
            </w:r>
          </w:p>
        </w:tc>
        <w:tc>
          <w:tcPr>
            <w:tcW w:w="741" w:type="dxa"/>
            <w:tcBorders>
              <w:top w:val="single" w:color="auto" w:sz="2" w:space="0"/>
              <w:left w:val="single" w:color="auto" w:sz="2" w:space="0"/>
              <w:bottom w:val="single" w:color="auto" w:sz="2" w:space="0"/>
              <w:right w:val="single" w:color="auto" w:sz="2" w:space="0"/>
            </w:tcBorders>
            <w:vAlign w:val="center"/>
          </w:tcPr>
          <w:p w14:paraId="74D2671F">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16010C">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98CB2A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6398AC7">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176BEAB">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6FAEA8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40,000,621.62</w:t>
            </w:r>
          </w:p>
        </w:tc>
        <w:tc>
          <w:tcPr>
            <w:tcW w:w="741" w:type="dxa"/>
            <w:tcBorders>
              <w:top w:val="single" w:color="auto" w:sz="2" w:space="0"/>
              <w:left w:val="single" w:color="auto" w:sz="2" w:space="0"/>
              <w:bottom w:val="single" w:color="auto" w:sz="2" w:space="0"/>
              <w:right w:val="single" w:color="auto" w:sz="2" w:space="0"/>
            </w:tcBorders>
            <w:vAlign w:val="center"/>
          </w:tcPr>
          <w:p w14:paraId="027F9AF5">
            <w:pPr>
              <w:spacing w:before="0" w:after="0" w:line="240" w:lineRule="exact"/>
              <w:jc w:val="right"/>
              <w:rPr>
                <w:rFonts w:ascii="宋体" w:hAnsi="宋体" w:eastAsia="宋体" w:cs="宋体"/>
                <w:color w:val="auto"/>
                <w:sz w:val="18"/>
                <w:szCs w:val="18"/>
              </w:rPr>
            </w:pPr>
          </w:p>
        </w:tc>
      </w:tr>
      <w:tr w14:paraId="06743B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1DE2E6AA">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莆田博奥医学检验有限公司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54BCFF7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6,806,262.10</w:t>
            </w:r>
          </w:p>
        </w:tc>
        <w:tc>
          <w:tcPr>
            <w:tcW w:w="741" w:type="dxa"/>
            <w:tcBorders>
              <w:top w:val="single" w:color="auto" w:sz="2" w:space="0"/>
              <w:left w:val="single" w:color="auto" w:sz="2" w:space="0"/>
              <w:bottom w:val="single" w:color="auto" w:sz="2" w:space="0"/>
              <w:right w:val="single" w:color="auto" w:sz="2" w:space="0"/>
            </w:tcBorders>
            <w:vAlign w:val="center"/>
          </w:tcPr>
          <w:p w14:paraId="4FB6AF89">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0E4C71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469F5BE">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ACEB814">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2,329,442.61</w:t>
            </w:r>
          </w:p>
        </w:tc>
        <w:tc>
          <w:tcPr>
            <w:tcW w:w="741" w:type="dxa"/>
            <w:tcBorders>
              <w:top w:val="single" w:color="auto" w:sz="2" w:space="0"/>
              <w:left w:val="single" w:color="auto" w:sz="2" w:space="0"/>
              <w:bottom w:val="single" w:color="auto" w:sz="2" w:space="0"/>
              <w:right w:val="single" w:color="auto" w:sz="2" w:space="0"/>
            </w:tcBorders>
            <w:vAlign w:val="center"/>
          </w:tcPr>
          <w:p w14:paraId="7A4C9788">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0987883E">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8F0BAE0">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22AE3FE">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693D574">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94F41D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9,135,704.71</w:t>
            </w:r>
          </w:p>
        </w:tc>
        <w:tc>
          <w:tcPr>
            <w:tcW w:w="741" w:type="dxa"/>
            <w:tcBorders>
              <w:top w:val="single" w:color="auto" w:sz="2" w:space="0"/>
              <w:left w:val="single" w:color="auto" w:sz="2" w:space="0"/>
              <w:bottom w:val="single" w:color="auto" w:sz="2" w:space="0"/>
              <w:right w:val="single" w:color="auto" w:sz="2" w:space="0"/>
            </w:tcBorders>
            <w:vAlign w:val="center"/>
          </w:tcPr>
          <w:p w14:paraId="746DC167">
            <w:pPr>
              <w:spacing w:before="0" w:after="0" w:line="240" w:lineRule="exact"/>
              <w:jc w:val="right"/>
              <w:rPr>
                <w:rFonts w:ascii="宋体" w:hAnsi="宋体" w:eastAsia="宋体" w:cs="宋体"/>
                <w:color w:val="auto"/>
                <w:sz w:val="18"/>
                <w:szCs w:val="18"/>
              </w:rPr>
            </w:pPr>
          </w:p>
        </w:tc>
      </w:tr>
      <w:tr w14:paraId="21DD18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8658E5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小计</w:t>
            </w:r>
          </w:p>
        </w:tc>
        <w:tc>
          <w:tcPr>
            <w:tcW w:w="741" w:type="dxa"/>
            <w:tcBorders>
              <w:top w:val="single" w:color="auto" w:sz="2" w:space="0"/>
              <w:left w:val="single" w:color="auto" w:sz="2" w:space="0"/>
              <w:bottom w:val="single" w:color="auto" w:sz="2" w:space="0"/>
              <w:right w:val="single" w:color="auto" w:sz="2" w:space="0"/>
            </w:tcBorders>
            <w:vAlign w:val="center"/>
          </w:tcPr>
          <w:p w14:paraId="40A197A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80,177,607.81</w:t>
            </w:r>
          </w:p>
        </w:tc>
        <w:tc>
          <w:tcPr>
            <w:tcW w:w="741" w:type="dxa"/>
            <w:tcBorders>
              <w:top w:val="single" w:color="auto" w:sz="2" w:space="0"/>
              <w:left w:val="single" w:color="auto" w:sz="2" w:space="0"/>
              <w:bottom w:val="single" w:color="auto" w:sz="2" w:space="0"/>
              <w:right w:val="single" w:color="auto" w:sz="2" w:space="0"/>
            </w:tcBorders>
            <w:vAlign w:val="center"/>
          </w:tcPr>
          <w:p w14:paraId="089488B8">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505615B">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27133A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4E7E62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741" w:type="dxa"/>
            <w:tcBorders>
              <w:top w:val="single" w:color="auto" w:sz="2" w:space="0"/>
              <w:left w:val="single" w:color="auto" w:sz="2" w:space="0"/>
              <w:bottom w:val="single" w:color="auto" w:sz="2" w:space="0"/>
              <w:right w:val="single" w:color="auto" w:sz="2" w:space="0"/>
            </w:tcBorders>
            <w:vAlign w:val="center"/>
          </w:tcPr>
          <w:p w14:paraId="31A4EBF2">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0AEB393">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BD98098">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1A3050E">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85961FB">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4ADC04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79,787,878.31</w:t>
            </w:r>
          </w:p>
        </w:tc>
        <w:tc>
          <w:tcPr>
            <w:tcW w:w="741" w:type="dxa"/>
            <w:tcBorders>
              <w:top w:val="single" w:color="auto" w:sz="2" w:space="0"/>
              <w:left w:val="single" w:color="auto" w:sz="2" w:space="0"/>
              <w:bottom w:val="single" w:color="auto" w:sz="2" w:space="0"/>
              <w:right w:val="single" w:color="auto" w:sz="2" w:space="0"/>
            </w:tcBorders>
            <w:vAlign w:val="center"/>
          </w:tcPr>
          <w:p w14:paraId="53920570">
            <w:pPr>
              <w:spacing w:before="0" w:after="0" w:line="240" w:lineRule="exact"/>
              <w:jc w:val="right"/>
              <w:rPr>
                <w:rFonts w:ascii="宋体" w:hAnsi="宋体" w:eastAsia="宋体" w:cs="宋体"/>
                <w:color w:val="auto"/>
                <w:sz w:val="18"/>
                <w:szCs w:val="18"/>
              </w:rPr>
            </w:pPr>
          </w:p>
        </w:tc>
      </w:tr>
      <w:tr w14:paraId="44D725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40E15F0">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741" w:type="dxa"/>
            <w:tcBorders>
              <w:top w:val="single" w:color="auto" w:sz="2" w:space="0"/>
              <w:left w:val="single" w:color="auto" w:sz="2" w:space="0"/>
              <w:bottom w:val="single" w:color="auto" w:sz="2" w:space="0"/>
              <w:right w:val="single" w:color="auto" w:sz="2" w:space="0"/>
            </w:tcBorders>
            <w:vAlign w:val="center"/>
          </w:tcPr>
          <w:p w14:paraId="4044CF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80,177,607.81</w:t>
            </w:r>
          </w:p>
        </w:tc>
        <w:tc>
          <w:tcPr>
            <w:tcW w:w="741" w:type="dxa"/>
            <w:tcBorders>
              <w:top w:val="single" w:color="auto" w:sz="2" w:space="0"/>
              <w:left w:val="single" w:color="auto" w:sz="2" w:space="0"/>
              <w:bottom w:val="single" w:color="auto" w:sz="2" w:space="0"/>
              <w:right w:val="single" w:color="auto" w:sz="2" w:space="0"/>
            </w:tcBorders>
            <w:vAlign w:val="center"/>
          </w:tcPr>
          <w:p w14:paraId="7631727D">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3058AC1">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E8E2B0A">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C0534B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741" w:type="dxa"/>
            <w:tcBorders>
              <w:top w:val="single" w:color="auto" w:sz="2" w:space="0"/>
              <w:left w:val="single" w:color="auto" w:sz="2" w:space="0"/>
              <w:bottom w:val="single" w:color="auto" w:sz="2" w:space="0"/>
              <w:right w:val="single" w:color="auto" w:sz="2" w:space="0"/>
            </w:tcBorders>
            <w:vAlign w:val="center"/>
          </w:tcPr>
          <w:p w14:paraId="09DA2762">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24196049">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44B63A77">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B77EEC2">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42B0044">
            <w:pPr>
              <w:spacing w:before="0" w:after="0" w:line="240" w:lineRule="exact"/>
              <w:jc w:val="right"/>
              <w:rPr>
                <w:rFonts w:ascii="宋体" w:hAnsi="宋体" w:eastAsia="宋体" w:cs="宋体"/>
                <w:color w:val="auto"/>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3181D6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79,787,878.31</w:t>
            </w:r>
          </w:p>
        </w:tc>
        <w:tc>
          <w:tcPr>
            <w:tcW w:w="741" w:type="dxa"/>
            <w:tcBorders>
              <w:top w:val="single" w:color="auto" w:sz="2" w:space="0"/>
              <w:left w:val="single" w:color="auto" w:sz="2" w:space="0"/>
              <w:bottom w:val="single" w:color="auto" w:sz="2" w:space="0"/>
              <w:right w:val="single" w:color="auto" w:sz="2" w:space="0"/>
            </w:tcBorders>
            <w:vAlign w:val="center"/>
          </w:tcPr>
          <w:p w14:paraId="1DA6E5C9">
            <w:pPr>
              <w:spacing w:before="0" w:after="0" w:line="240" w:lineRule="exact"/>
              <w:jc w:val="right"/>
              <w:rPr>
                <w:rFonts w:ascii="宋体" w:hAnsi="宋体" w:eastAsia="宋体" w:cs="宋体"/>
                <w:color w:val="auto"/>
                <w:sz w:val="18"/>
                <w:szCs w:val="18"/>
              </w:rPr>
            </w:pPr>
          </w:p>
        </w:tc>
      </w:tr>
    </w:tbl>
    <w:p w14:paraId="1DDD968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可收回金额按公允价值减去处置费用后的净额确定</w:t>
      </w:r>
    </w:p>
    <w:p w14:paraId="3C3EFC15">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724D7B7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可收回金额按预计未来现金流量的现值确定</w:t>
      </w:r>
    </w:p>
    <w:p w14:paraId="5259676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2E6DF6A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前述信息与以前年度减值测试采用的信息或外部信息明显不一致的差异原因</w:t>
      </w:r>
    </w:p>
    <w:p w14:paraId="1BC4710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公司以前年度减值测试采用信息与当年实际情况明显不一致的差异原因</w:t>
      </w:r>
    </w:p>
    <w:p w14:paraId="62EC43F3">
      <w:pPr>
        <w:keepNext/>
        <w:keepLines/>
        <w:spacing w:before="300" w:after="300" w:line="280" w:lineRule="exact"/>
        <w:jc w:val="left"/>
        <w:outlineLvl w:val="3"/>
        <w:rPr>
          <w:rFonts w:ascii="宋体" w:hAnsi="宋体" w:eastAsia="宋体" w:cs="宋体"/>
          <w:b/>
          <w:bCs/>
          <w:color w:val="auto"/>
          <w:sz w:val="21"/>
          <w:szCs w:val="21"/>
        </w:rPr>
      </w:pPr>
      <w:bookmarkStart w:id="455" w:name="_Toc989431"/>
      <w:r>
        <w:rPr>
          <w:rFonts w:ascii="宋体" w:hAnsi="宋体" w:eastAsia="宋体" w:cs="宋体"/>
          <w:b/>
          <w:bCs/>
          <w:color w:val="auto"/>
          <w:sz w:val="21"/>
          <w:szCs w:val="21"/>
        </w:rPr>
        <w:t>（3）其他说明</w:t>
      </w:r>
      <w:bookmarkEnd w:id="455"/>
    </w:p>
    <w:p w14:paraId="4C8C5DB7">
      <w:pPr>
        <w:keepNext/>
        <w:keepLines/>
        <w:spacing w:before="300" w:after="300" w:line="280" w:lineRule="exact"/>
        <w:jc w:val="left"/>
        <w:outlineLvl w:val="2"/>
        <w:rPr>
          <w:rFonts w:ascii="宋体" w:hAnsi="宋体" w:eastAsia="宋体" w:cs="宋体"/>
          <w:b/>
          <w:bCs/>
          <w:color w:val="auto"/>
          <w:sz w:val="21"/>
          <w:szCs w:val="21"/>
        </w:rPr>
      </w:pPr>
      <w:bookmarkStart w:id="456" w:name="_Toc989432"/>
      <w:r>
        <w:rPr>
          <w:rFonts w:ascii="宋体" w:hAnsi="宋体" w:eastAsia="宋体" w:cs="宋体"/>
          <w:b/>
          <w:bCs/>
          <w:color w:val="auto"/>
          <w:sz w:val="21"/>
          <w:szCs w:val="21"/>
        </w:rPr>
        <w:t>4、营业收入和营业成本</w:t>
      </w:r>
      <w:bookmarkEnd w:id="456"/>
    </w:p>
    <w:p w14:paraId="1CDFF5E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14:paraId="5D835F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956486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EAD2FC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D30918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4479E6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A619AF">
            <w:pPr>
              <w:rPr>
                <w:color w:val="auto"/>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A4D25E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6223225">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成本</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F78B3E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02AC7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成本</w:t>
            </w:r>
          </w:p>
        </w:tc>
      </w:tr>
      <w:tr w14:paraId="18F56B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48BEE2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主营业务</w:t>
            </w:r>
          </w:p>
        </w:tc>
        <w:tc>
          <w:tcPr>
            <w:tcW w:w="1928" w:type="dxa"/>
            <w:tcBorders>
              <w:top w:val="single" w:color="auto" w:sz="2" w:space="0"/>
              <w:left w:val="single" w:color="auto" w:sz="2" w:space="0"/>
              <w:bottom w:val="single" w:color="auto" w:sz="2" w:space="0"/>
              <w:right w:val="single" w:color="auto" w:sz="2" w:space="0"/>
            </w:tcBorders>
            <w:vAlign w:val="center"/>
          </w:tcPr>
          <w:p w14:paraId="45C5ED2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87,975,008.97</w:t>
            </w:r>
          </w:p>
        </w:tc>
        <w:tc>
          <w:tcPr>
            <w:tcW w:w="1928" w:type="dxa"/>
            <w:tcBorders>
              <w:top w:val="single" w:color="auto" w:sz="2" w:space="0"/>
              <w:left w:val="single" w:color="auto" w:sz="2" w:space="0"/>
              <w:bottom w:val="single" w:color="auto" w:sz="2" w:space="0"/>
              <w:right w:val="single" w:color="auto" w:sz="2" w:space="0"/>
            </w:tcBorders>
            <w:vAlign w:val="center"/>
          </w:tcPr>
          <w:p w14:paraId="04225FC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49,508,517.87</w:t>
            </w:r>
          </w:p>
        </w:tc>
        <w:tc>
          <w:tcPr>
            <w:tcW w:w="1928" w:type="dxa"/>
            <w:tcBorders>
              <w:top w:val="single" w:color="auto" w:sz="2" w:space="0"/>
              <w:left w:val="single" w:color="auto" w:sz="2" w:space="0"/>
              <w:bottom w:val="single" w:color="auto" w:sz="2" w:space="0"/>
              <w:right w:val="single" w:color="auto" w:sz="2" w:space="0"/>
            </w:tcBorders>
            <w:vAlign w:val="center"/>
          </w:tcPr>
          <w:p w14:paraId="33E1E27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132,189,868.73</w:t>
            </w:r>
          </w:p>
        </w:tc>
        <w:tc>
          <w:tcPr>
            <w:tcW w:w="1928" w:type="dxa"/>
            <w:tcBorders>
              <w:top w:val="single" w:color="auto" w:sz="2" w:space="0"/>
              <w:left w:val="single" w:color="auto" w:sz="2" w:space="0"/>
              <w:bottom w:val="single" w:color="auto" w:sz="2" w:space="0"/>
              <w:right w:val="single" w:color="auto" w:sz="2" w:space="0"/>
            </w:tcBorders>
            <w:vAlign w:val="center"/>
          </w:tcPr>
          <w:p w14:paraId="1A9AB99F">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76,839,311.51</w:t>
            </w:r>
          </w:p>
        </w:tc>
      </w:tr>
      <w:tr w14:paraId="18FB04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831C93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其他业务</w:t>
            </w:r>
          </w:p>
        </w:tc>
        <w:tc>
          <w:tcPr>
            <w:tcW w:w="1928" w:type="dxa"/>
            <w:tcBorders>
              <w:top w:val="single" w:color="auto" w:sz="2" w:space="0"/>
              <w:left w:val="single" w:color="auto" w:sz="2" w:space="0"/>
              <w:bottom w:val="single" w:color="auto" w:sz="2" w:space="0"/>
              <w:right w:val="single" w:color="auto" w:sz="2" w:space="0"/>
            </w:tcBorders>
            <w:vAlign w:val="center"/>
          </w:tcPr>
          <w:p w14:paraId="19E0548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6,184,310.25</w:t>
            </w:r>
          </w:p>
        </w:tc>
        <w:tc>
          <w:tcPr>
            <w:tcW w:w="1928" w:type="dxa"/>
            <w:tcBorders>
              <w:top w:val="single" w:color="auto" w:sz="2" w:space="0"/>
              <w:left w:val="single" w:color="auto" w:sz="2" w:space="0"/>
              <w:bottom w:val="single" w:color="auto" w:sz="2" w:space="0"/>
              <w:right w:val="single" w:color="auto" w:sz="2" w:space="0"/>
            </w:tcBorders>
            <w:vAlign w:val="center"/>
          </w:tcPr>
          <w:p w14:paraId="30794DC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5,787,770.19</w:t>
            </w:r>
          </w:p>
        </w:tc>
        <w:tc>
          <w:tcPr>
            <w:tcW w:w="1928" w:type="dxa"/>
            <w:tcBorders>
              <w:top w:val="single" w:color="auto" w:sz="2" w:space="0"/>
              <w:left w:val="single" w:color="auto" w:sz="2" w:space="0"/>
              <w:bottom w:val="single" w:color="auto" w:sz="2" w:space="0"/>
              <w:right w:val="single" w:color="auto" w:sz="2" w:space="0"/>
            </w:tcBorders>
            <w:vAlign w:val="center"/>
          </w:tcPr>
          <w:p w14:paraId="6915C682">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3,078,425.13</w:t>
            </w:r>
          </w:p>
        </w:tc>
        <w:tc>
          <w:tcPr>
            <w:tcW w:w="1928" w:type="dxa"/>
            <w:tcBorders>
              <w:top w:val="single" w:color="auto" w:sz="2" w:space="0"/>
              <w:left w:val="single" w:color="auto" w:sz="2" w:space="0"/>
              <w:bottom w:val="single" w:color="auto" w:sz="2" w:space="0"/>
              <w:right w:val="single" w:color="auto" w:sz="2" w:space="0"/>
            </w:tcBorders>
            <w:vAlign w:val="center"/>
          </w:tcPr>
          <w:p w14:paraId="78D2C887">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2,901,166.93</w:t>
            </w:r>
          </w:p>
        </w:tc>
      </w:tr>
      <w:tr w14:paraId="5D16DC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F99984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51C102E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94,159,319.22</w:t>
            </w:r>
          </w:p>
        </w:tc>
        <w:tc>
          <w:tcPr>
            <w:tcW w:w="1928" w:type="dxa"/>
            <w:tcBorders>
              <w:top w:val="single" w:color="auto" w:sz="2" w:space="0"/>
              <w:left w:val="single" w:color="auto" w:sz="2" w:space="0"/>
              <w:bottom w:val="single" w:color="auto" w:sz="2" w:space="0"/>
              <w:right w:val="single" w:color="auto" w:sz="2" w:space="0"/>
            </w:tcBorders>
            <w:vAlign w:val="center"/>
          </w:tcPr>
          <w:p w14:paraId="40A0D4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55,296,288.06</w:t>
            </w:r>
          </w:p>
        </w:tc>
        <w:tc>
          <w:tcPr>
            <w:tcW w:w="1928" w:type="dxa"/>
            <w:tcBorders>
              <w:top w:val="single" w:color="auto" w:sz="2" w:space="0"/>
              <w:left w:val="single" w:color="auto" w:sz="2" w:space="0"/>
              <w:bottom w:val="single" w:color="auto" w:sz="2" w:space="0"/>
              <w:right w:val="single" w:color="auto" w:sz="2" w:space="0"/>
            </w:tcBorders>
            <w:vAlign w:val="center"/>
          </w:tcPr>
          <w:p w14:paraId="3E002A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135,268,293.86</w:t>
            </w:r>
          </w:p>
        </w:tc>
        <w:tc>
          <w:tcPr>
            <w:tcW w:w="1928" w:type="dxa"/>
            <w:tcBorders>
              <w:top w:val="single" w:color="auto" w:sz="2" w:space="0"/>
              <w:left w:val="single" w:color="auto" w:sz="2" w:space="0"/>
              <w:bottom w:val="single" w:color="auto" w:sz="2" w:space="0"/>
              <w:right w:val="single" w:color="auto" w:sz="2" w:space="0"/>
            </w:tcBorders>
            <w:vAlign w:val="center"/>
          </w:tcPr>
          <w:p w14:paraId="4D28898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79,740,478.44</w:t>
            </w:r>
          </w:p>
        </w:tc>
      </w:tr>
    </w:tbl>
    <w:p w14:paraId="373A1969">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营业收入、营业成本的分解信息：</w:t>
      </w:r>
    </w:p>
    <w:p w14:paraId="69B1B19F">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7EF9DA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D279BB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合同分类</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B56CF2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分部1</w:t>
            </w: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897B63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分部2</w:t>
            </w:r>
          </w:p>
        </w:tc>
        <w:tc>
          <w:tcPr>
            <w:tcW w:w="2142" w:type="dxa"/>
            <w:gridSpan w:val="2"/>
            <w:tcBorders>
              <w:top w:val="single" w:color="auto" w:sz="2" w:space="0"/>
              <w:left w:val="single" w:color="auto" w:sz="2" w:space="0"/>
              <w:bottom w:val="single" w:color="auto" w:sz="2" w:space="0"/>
              <w:right w:val="single" w:color="auto" w:sz="2" w:space="0"/>
            </w:tcBorders>
            <w:vAlign w:val="center"/>
          </w:tcPr>
          <w:p w14:paraId="7BE577FA">
            <w:pPr>
              <w:spacing w:before="0" w:after="0" w:line="240" w:lineRule="exact"/>
              <w:jc w:val="center"/>
              <w:rPr>
                <w:rFonts w:ascii="宋体" w:hAnsi="宋体" w:eastAsia="宋体" w:cs="宋体"/>
                <w:color w:val="auto"/>
                <w:sz w:val="18"/>
                <w:szCs w:val="18"/>
              </w:rPr>
            </w:pPr>
          </w:p>
        </w:tc>
        <w:tc>
          <w:tcPr>
            <w:tcW w:w="2142"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CF7F40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合计</w:t>
            </w:r>
          </w:p>
        </w:tc>
      </w:tr>
      <w:tr w14:paraId="0A6FCF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ADAED83">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8744E8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2C022A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D3B640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F5362C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B070C6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A57830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营业成本</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927CBD9">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FBD1AC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营业成本</w:t>
            </w:r>
          </w:p>
        </w:tc>
      </w:tr>
      <w:tr w14:paraId="1D17DB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9D34BB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业务类型</w:t>
            </w:r>
          </w:p>
        </w:tc>
        <w:tc>
          <w:tcPr>
            <w:tcW w:w="1071" w:type="dxa"/>
            <w:tcBorders>
              <w:top w:val="single" w:color="auto" w:sz="2" w:space="0"/>
              <w:left w:val="single" w:color="auto" w:sz="2" w:space="0"/>
              <w:bottom w:val="single" w:color="auto" w:sz="2" w:space="0"/>
              <w:right w:val="single" w:color="auto" w:sz="2" w:space="0"/>
            </w:tcBorders>
            <w:vAlign w:val="center"/>
          </w:tcPr>
          <w:p w14:paraId="1AEB41C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22FBF6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2E9E82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7975FB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C72042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BEB901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E2ABFE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4393933">
            <w:pPr>
              <w:spacing w:before="0" w:after="0" w:line="240" w:lineRule="exact"/>
              <w:jc w:val="right"/>
              <w:rPr>
                <w:rFonts w:ascii="宋体" w:hAnsi="宋体" w:eastAsia="宋体" w:cs="宋体"/>
                <w:color w:val="auto"/>
                <w:sz w:val="18"/>
                <w:szCs w:val="18"/>
              </w:rPr>
            </w:pPr>
          </w:p>
        </w:tc>
      </w:tr>
      <w:tr w14:paraId="15D33D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7F4789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6A1EDEA">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6D868D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8192134">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F2D5491">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29EA45D">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9FEA8D0">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7AB91F0">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75CC3BB">
            <w:pPr>
              <w:rPr>
                <w:color w:val="auto"/>
              </w:rPr>
            </w:pPr>
          </w:p>
        </w:tc>
      </w:tr>
      <w:tr w14:paraId="6DBE9E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7A6E09A">
            <w:pPr>
              <w:spacing w:before="0" w:after="0" w:line="240" w:lineRule="exact"/>
              <w:jc w:val="lef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4793A7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6FEEBD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CADFDD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FA8097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0B4275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D7045C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614F08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88DC4D2">
            <w:pPr>
              <w:spacing w:before="0" w:after="0" w:line="240" w:lineRule="exact"/>
              <w:jc w:val="right"/>
              <w:rPr>
                <w:rFonts w:ascii="宋体" w:hAnsi="宋体" w:eastAsia="宋体" w:cs="宋体"/>
                <w:color w:val="auto"/>
                <w:sz w:val="18"/>
                <w:szCs w:val="18"/>
              </w:rPr>
            </w:pPr>
          </w:p>
        </w:tc>
      </w:tr>
      <w:tr w14:paraId="47FC52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F379BE4">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按经营地区分类</w:t>
            </w:r>
          </w:p>
        </w:tc>
        <w:tc>
          <w:tcPr>
            <w:tcW w:w="1071" w:type="dxa"/>
            <w:tcBorders>
              <w:top w:val="single" w:color="auto" w:sz="2" w:space="0"/>
              <w:left w:val="single" w:color="auto" w:sz="2" w:space="0"/>
              <w:bottom w:val="single" w:color="auto" w:sz="2" w:space="0"/>
              <w:right w:val="single" w:color="auto" w:sz="2" w:space="0"/>
            </w:tcBorders>
            <w:vAlign w:val="center"/>
          </w:tcPr>
          <w:p w14:paraId="0D0880F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9C4850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048353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A660AE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3484B1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467A43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9E2D1B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73D99D2">
            <w:pPr>
              <w:spacing w:before="0" w:after="0" w:line="240" w:lineRule="exact"/>
              <w:jc w:val="right"/>
              <w:rPr>
                <w:rFonts w:ascii="宋体" w:hAnsi="宋体" w:eastAsia="宋体" w:cs="宋体"/>
                <w:color w:val="auto"/>
                <w:sz w:val="18"/>
                <w:szCs w:val="18"/>
              </w:rPr>
            </w:pPr>
          </w:p>
        </w:tc>
      </w:tr>
      <w:tr w14:paraId="5BB24E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8EB6B8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D8358F2">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EABF340">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9FFFC07">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3F23EB9">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826623E">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728D8E9">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3788E43">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3146B5F">
            <w:pPr>
              <w:rPr>
                <w:color w:val="auto"/>
              </w:rPr>
            </w:pPr>
          </w:p>
        </w:tc>
      </w:tr>
      <w:tr w14:paraId="754CA0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7631998">
            <w:pPr>
              <w:spacing w:before="0" w:after="0" w:line="240" w:lineRule="exact"/>
              <w:jc w:val="lef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439F7F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747161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247FBF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EE2A39F">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61CE3E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F584B7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06B6B1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F084236">
            <w:pPr>
              <w:spacing w:before="0" w:after="0" w:line="240" w:lineRule="exact"/>
              <w:jc w:val="right"/>
              <w:rPr>
                <w:rFonts w:ascii="宋体" w:hAnsi="宋体" w:eastAsia="宋体" w:cs="宋体"/>
                <w:color w:val="auto"/>
                <w:sz w:val="18"/>
                <w:szCs w:val="18"/>
              </w:rPr>
            </w:pPr>
          </w:p>
        </w:tc>
      </w:tr>
      <w:tr w14:paraId="297271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B1E249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市场或客户类型</w:t>
            </w:r>
          </w:p>
        </w:tc>
        <w:tc>
          <w:tcPr>
            <w:tcW w:w="1071" w:type="dxa"/>
            <w:tcBorders>
              <w:top w:val="single" w:color="auto" w:sz="2" w:space="0"/>
              <w:left w:val="single" w:color="auto" w:sz="2" w:space="0"/>
              <w:bottom w:val="single" w:color="auto" w:sz="2" w:space="0"/>
              <w:right w:val="single" w:color="auto" w:sz="2" w:space="0"/>
            </w:tcBorders>
            <w:vAlign w:val="center"/>
          </w:tcPr>
          <w:p w14:paraId="109E312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6369BA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DB4DFA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1D6F8A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B4DABB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4FD081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7D0F88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EEF6B62">
            <w:pPr>
              <w:spacing w:before="0" w:after="0" w:line="240" w:lineRule="exact"/>
              <w:jc w:val="right"/>
              <w:rPr>
                <w:rFonts w:ascii="宋体" w:hAnsi="宋体" w:eastAsia="宋体" w:cs="宋体"/>
                <w:color w:val="auto"/>
                <w:sz w:val="18"/>
                <w:szCs w:val="18"/>
              </w:rPr>
            </w:pPr>
          </w:p>
        </w:tc>
      </w:tr>
      <w:tr w14:paraId="3528F6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128CEF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9CC3EA">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B7D32B8">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A2F245D">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C5FD132">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AC0CB8D">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5C16D2E">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D3284A3">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F08E813">
            <w:pPr>
              <w:rPr>
                <w:color w:val="auto"/>
              </w:rPr>
            </w:pPr>
          </w:p>
        </w:tc>
      </w:tr>
      <w:tr w14:paraId="5F32D3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EC69221">
            <w:pPr>
              <w:spacing w:before="0" w:after="0" w:line="240" w:lineRule="exact"/>
              <w:jc w:val="lef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814F64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55EAED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319B4C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8A74F6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6BA911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02D608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48B91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CD24CEF">
            <w:pPr>
              <w:spacing w:before="0" w:after="0" w:line="240" w:lineRule="exact"/>
              <w:jc w:val="right"/>
              <w:rPr>
                <w:rFonts w:ascii="宋体" w:hAnsi="宋体" w:eastAsia="宋体" w:cs="宋体"/>
                <w:color w:val="auto"/>
                <w:sz w:val="18"/>
                <w:szCs w:val="18"/>
              </w:rPr>
            </w:pPr>
          </w:p>
        </w:tc>
      </w:tr>
      <w:tr w14:paraId="12CA72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1E639C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合同类型</w:t>
            </w:r>
          </w:p>
        </w:tc>
        <w:tc>
          <w:tcPr>
            <w:tcW w:w="1071" w:type="dxa"/>
            <w:tcBorders>
              <w:top w:val="single" w:color="auto" w:sz="2" w:space="0"/>
              <w:left w:val="single" w:color="auto" w:sz="2" w:space="0"/>
              <w:bottom w:val="single" w:color="auto" w:sz="2" w:space="0"/>
              <w:right w:val="single" w:color="auto" w:sz="2" w:space="0"/>
            </w:tcBorders>
            <w:vAlign w:val="center"/>
          </w:tcPr>
          <w:p w14:paraId="0B9D5A3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AC8810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257B93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89257C9">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059F73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FF3DF5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6005F2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BBA9C75">
            <w:pPr>
              <w:spacing w:before="0" w:after="0" w:line="240" w:lineRule="exact"/>
              <w:jc w:val="right"/>
              <w:rPr>
                <w:rFonts w:ascii="宋体" w:hAnsi="宋体" w:eastAsia="宋体" w:cs="宋体"/>
                <w:color w:val="auto"/>
                <w:sz w:val="18"/>
                <w:szCs w:val="18"/>
              </w:rPr>
            </w:pPr>
          </w:p>
        </w:tc>
      </w:tr>
      <w:tr w14:paraId="0A51BA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E322DB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E137F01">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5FC6DE9">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FE2968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179D21F">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56C50DC">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7E3B5F9">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2AEF41">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A6BA83C">
            <w:pPr>
              <w:rPr>
                <w:color w:val="auto"/>
              </w:rPr>
            </w:pPr>
          </w:p>
        </w:tc>
      </w:tr>
      <w:tr w14:paraId="3C4491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24A0CFD">
            <w:pPr>
              <w:spacing w:before="0" w:after="0" w:line="240" w:lineRule="exact"/>
              <w:jc w:val="lef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A10046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C0DD64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C1D59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D89FDA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89D5BE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1EC729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D3463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DE01DB6">
            <w:pPr>
              <w:spacing w:before="0" w:after="0" w:line="240" w:lineRule="exact"/>
              <w:jc w:val="right"/>
              <w:rPr>
                <w:rFonts w:ascii="宋体" w:hAnsi="宋体" w:eastAsia="宋体" w:cs="宋体"/>
                <w:color w:val="auto"/>
                <w:sz w:val="18"/>
                <w:szCs w:val="18"/>
              </w:rPr>
            </w:pPr>
          </w:p>
        </w:tc>
      </w:tr>
      <w:tr w14:paraId="1D40FB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BBF416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按商品转让的时间分类</w:t>
            </w:r>
          </w:p>
        </w:tc>
        <w:tc>
          <w:tcPr>
            <w:tcW w:w="1071" w:type="dxa"/>
            <w:tcBorders>
              <w:top w:val="single" w:color="auto" w:sz="2" w:space="0"/>
              <w:left w:val="single" w:color="auto" w:sz="2" w:space="0"/>
              <w:bottom w:val="single" w:color="auto" w:sz="2" w:space="0"/>
              <w:right w:val="single" w:color="auto" w:sz="2" w:space="0"/>
            </w:tcBorders>
            <w:vAlign w:val="center"/>
          </w:tcPr>
          <w:p w14:paraId="1ABD8878">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D91288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BAAC0F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76F017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48EDA88">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C3E7B7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E87595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168E86E">
            <w:pPr>
              <w:spacing w:before="0" w:after="0" w:line="240" w:lineRule="exact"/>
              <w:jc w:val="right"/>
              <w:rPr>
                <w:rFonts w:ascii="宋体" w:hAnsi="宋体" w:eastAsia="宋体" w:cs="宋体"/>
                <w:color w:val="auto"/>
                <w:sz w:val="18"/>
                <w:szCs w:val="18"/>
              </w:rPr>
            </w:pPr>
          </w:p>
        </w:tc>
      </w:tr>
      <w:tr w14:paraId="768A5F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6374CDB">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F17D631">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7CF6D80">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728B80B">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06D4D7C">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89EDE33">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310C315">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49FF733">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E690278">
            <w:pPr>
              <w:rPr>
                <w:color w:val="auto"/>
              </w:rPr>
            </w:pPr>
          </w:p>
        </w:tc>
      </w:tr>
      <w:tr w14:paraId="1DBB4B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9D37E6F">
            <w:pPr>
              <w:spacing w:before="0" w:after="0" w:line="240" w:lineRule="exact"/>
              <w:jc w:val="lef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21A5DD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2C7AFD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FF9589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16AE86B">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CCE84C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AC07A1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A7B48C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73B8D27">
            <w:pPr>
              <w:spacing w:before="0" w:after="0" w:line="240" w:lineRule="exact"/>
              <w:jc w:val="right"/>
              <w:rPr>
                <w:rFonts w:ascii="宋体" w:hAnsi="宋体" w:eastAsia="宋体" w:cs="宋体"/>
                <w:color w:val="auto"/>
                <w:sz w:val="18"/>
                <w:szCs w:val="18"/>
              </w:rPr>
            </w:pPr>
          </w:p>
        </w:tc>
      </w:tr>
      <w:tr w14:paraId="0D9D80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3CA1E42">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按合同期限分类</w:t>
            </w:r>
          </w:p>
        </w:tc>
        <w:tc>
          <w:tcPr>
            <w:tcW w:w="1071" w:type="dxa"/>
            <w:tcBorders>
              <w:top w:val="single" w:color="auto" w:sz="2" w:space="0"/>
              <w:left w:val="single" w:color="auto" w:sz="2" w:space="0"/>
              <w:bottom w:val="single" w:color="auto" w:sz="2" w:space="0"/>
              <w:right w:val="single" w:color="auto" w:sz="2" w:space="0"/>
            </w:tcBorders>
            <w:vAlign w:val="center"/>
          </w:tcPr>
          <w:p w14:paraId="02CD150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3174A9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9D6181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BE7853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E457D8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4EDCD8D">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FCF937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5FC5713">
            <w:pPr>
              <w:spacing w:before="0" w:after="0" w:line="240" w:lineRule="exact"/>
              <w:jc w:val="right"/>
              <w:rPr>
                <w:rFonts w:ascii="宋体" w:hAnsi="宋体" w:eastAsia="宋体" w:cs="宋体"/>
                <w:color w:val="auto"/>
                <w:sz w:val="18"/>
                <w:szCs w:val="18"/>
              </w:rPr>
            </w:pPr>
          </w:p>
        </w:tc>
      </w:tr>
      <w:tr w14:paraId="13E1D6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44C377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659A449">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52BAFC3">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FD5A3B0">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E0C1D2B">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6F4CC21">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DABC96C">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5A83B4B">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8F812BD">
            <w:pPr>
              <w:rPr>
                <w:color w:val="auto"/>
              </w:rPr>
            </w:pPr>
          </w:p>
        </w:tc>
      </w:tr>
      <w:tr w14:paraId="61CAF1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4F02B76A">
            <w:pPr>
              <w:spacing w:before="0" w:after="0" w:line="240" w:lineRule="exact"/>
              <w:jc w:val="lef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EC7C4F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DF31AB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69C831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ADCAE6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3277A2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9F00C3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6376DF5">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B6DE842">
            <w:pPr>
              <w:spacing w:before="0" w:after="0" w:line="240" w:lineRule="exact"/>
              <w:jc w:val="right"/>
              <w:rPr>
                <w:rFonts w:ascii="宋体" w:hAnsi="宋体" w:eastAsia="宋体" w:cs="宋体"/>
                <w:color w:val="auto"/>
                <w:sz w:val="18"/>
                <w:szCs w:val="18"/>
              </w:rPr>
            </w:pPr>
          </w:p>
        </w:tc>
      </w:tr>
      <w:tr w14:paraId="33412D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0ABA89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按销售渠道分类</w:t>
            </w:r>
          </w:p>
        </w:tc>
        <w:tc>
          <w:tcPr>
            <w:tcW w:w="1071" w:type="dxa"/>
            <w:tcBorders>
              <w:top w:val="single" w:color="auto" w:sz="2" w:space="0"/>
              <w:left w:val="single" w:color="auto" w:sz="2" w:space="0"/>
              <w:bottom w:val="single" w:color="auto" w:sz="2" w:space="0"/>
              <w:right w:val="single" w:color="auto" w:sz="2" w:space="0"/>
            </w:tcBorders>
            <w:vAlign w:val="center"/>
          </w:tcPr>
          <w:p w14:paraId="28BCFB7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1E46AA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F2F9AF1">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045E1C4">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C6B9D6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7183F12">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0D7B2A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BF710BA">
            <w:pPr>
              <w:spacing w:before="0" w:after="0" w:line="240" w:lineRule="exact"/>
              <w:jc w:val="right"/>
              <w:rPr>
                <w:rFonts w:ascii="宋体" w:hAnsi="宋体" w:eastAsia="宋体" w:cs="宋体"/>
                <w:color w:val="auto"/>
                <w:sz w:val="18"/>
                <w:szCs w:val="18"/>
              </w:rPr>
            </w:pPr>
          </w:p>
        </w:tc>
      </w:tr>
      <w:tr w14:paraId="242DD1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59C2EB5">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　其中：</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CB1FEE6">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4045FB9">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4A6E3E8">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A7FA680">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2DA1B97">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64A2483">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8C5363D">
            <w:pPr>
              <w:rPr>
                <w:color w:val="auto"/>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E6A3FA">
            <w:pPr>
              <w:rPr>
                <w:color w:val="auto"/>
              </w:rPr>
            </w:pPr>
          </w:p>
        </w:tc>
      </w:tr>
      <w:tr w14:paraId="2F4C22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6B4825E9">
            <w:pPr>
              <w:spacing w:before="0" w:after="0" w:line="240" w:lineRule="exact"/>
              <w:jc w:val="lef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AFEE12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28F59D2F">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55A21BF">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49BF8988">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2A3CAD3">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7A491A2E">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A91D7A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222B4EA">
            <w:pPr>
              <w:spacing w:before="0" w:after="0" w:line="240" w:lineRule="exact"/>
              <w:jc w:val="right"/>
              <w:rPr>
                <w:rFonts w:ascii="宋体" w:hAnsi="宋体" w:eastAsia="宋体" w:cs="宋体"/>
                <w:color w:val="auto"/>
                <w:sz w:val="18"/>
                <w:szCs w:val="18"/>
              </w:rPr>
            </w:pPr>
          </w:p>
        </w:tc>
      </w:tr>
      <w:tr w14:paraId="1396E5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F2F9B18">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51398E5C">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5B96DC78">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0E56B90">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AD40036">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3567B028">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011B303A">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684F81D7">
            <w:pPr>
              <w:spacing w:before="0" w:after="0" w:line="240" w:lineRule="exact"/>
              <w:jc w:val="right"/>
              <w:rPr>
                <w:rFonts w:ascii="宋体" w:hAnsi="宋体" w:eastAsia="宋体" w:cs="宋体"/>
                <w:color w:val="auto"/>
                <w:sz w:val="18"/>
                <w:szCs w:val="18"/>
              </w:rPr>
            </w:pPr>
          </w:p>
        </w:tc>
        <w:tc>
          <w:tcPr>
            <w:tcW w:w="1071" w:type="dxa"/>
            <w:tcBorders>
              <w:top w:val="single" w:color="auto" w:sz="2" w:space="0"/>
              <w:left w:val="single" w:color="auto" w:sz="2" w:space="0"/>
              <w:bottom w:val="single" w:color="auto" w:sz="2" w:space="0"/>
              <w:right w:val="single" w:color="auto" w:sz="2" w:space="0"/>
            </w:tcBorders>
            <w:vAlign w:val="center"/>
          </w:tcPr>
          <w:p w14:paraId="16135DDF">
            <w:pPr>
              <w:spacing w:before="0" w:after="0" w:line="240" w:lineRule="exact"/>
              <w:jc w:val="right"/>
              <w:rPr>
                <w:rFonts w:ascii="宋体" w:hAnsi="宋体" w:eastAsia="宋体" w:cs="宋体"/>
                <w:color w:val="auto"/>
                <w:sz w:val="18"/>
                <w:szCs w:val="18"/>
              </w:rPr>
            </w:pPr>
          </w:p>
        </w:tc>
      </w:tr>
    </w:tbl>
    <w:p w14:paraId="2B74E1AC">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与履约义务相关的信息：</w:t>
      </w:r>
    </w:p>
    <w:p w14:paraId="75C80C18">
      <w:pPr>
        <w:spacing w:before="0" w:after="0" w:line="0" w:lineRule="exact"/>
        <w:jc w:val="left"/>
        <w:rPr>
          <w:color w:val="auto"/>
        </w:rPr>
      </w:pP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2C0D2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5DDC52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AA50BA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履行履约义务的时间</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1EE03F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重要的支付条款</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E988C7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公司承诺转让商品的性质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2353B1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是否为主要责任人</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A53C5D3">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公司承担的预期将退还给客户的款项</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2384B6D">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公司提供的质量保证类型及相关义务</w:t>
            </w:r>
          </w:p>
        </w:tc>
      </w:tr>
    </w:tbl>
    <w:p w14:paraId="58A059A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2189BFC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与分摊至剩余履约义务的交易价格相关的信息：</w:t>
      </w:r>
    </w:p>
    <w:p w14:paraId="344690B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本报告期末已签订合同、但尚未履行或尚未履行完毕的履约义务所对应的收入金额为0.00元，其中，元预计将于年度确认收入，元预计将于年度确认收入，元预计将于年度确认收入。</w:t>
      </w:r>
    </w:p>
    <w:p w14:paraId="26D20EDD">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重大合同变更或重大交易价格调整</w:t>
      </w:r>
    </w:p>
    <w:p w14:paraId="5E40A437">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5F637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9E390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6C45B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会计处理方法</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3B983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对收入的影响金额</w:t>
            </w:r>
          </w:p>
        </w:tc>
      </w:tr>
    </w:tbl>
    <w:p w14:paraId="38B42197">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其他说明：</w:t>
      </w:r>
    </w:p>
    <w:p w14:paraId="16E3D7E6">
      <w:pPr>
        <w:keepNext/>
        <w:keepLines/>
        <w:spacing w:before="300" w:after="300" w:line="280" w:lineRule="exact"/>
        <w:jc w:val="left"/>
        <w:outlineLvl w:val="2"/>
        <w:rPr>
          <w:rFonts w:ascii="宋体" w:hAnsi="宋体" w:eastAsia="宋体" w:cs="宋体"/>
          <w:b/>
          <w:bCs/>
          <w:color w:val="auto"/>
          <w:sz w:val="21"/>
          <w:szCs w:val="21"/>
        </w:rPr>
      </w:pPr>
      <w:bookmarkStart w:id="457" w:name="_Toc989433"/>
      <w:r>
        <w:rPr>
          <w:rFonts w:ascii="宋体" w:hAnsi="宋体" w:eastAsia="宋体" w:cs="宋体"/>
          <w:b/>
          <w:bCs/>
          <w:color w:val="auto"/>
          <w:sz w:val="21"/>
          <w:szCs w:val="21"/>
        </w:rPr>
        <w:t>5、投资收益</w:t>
      </w:r>
      <w:bookmarkEnd w:id="457"/>
    </w:p>
    <w:p w14:paraId="514E02EB">
      <w:pPr>
        <w:spacing w:before="40" w:after="4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97B0F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F37A9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050B9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AF9CD1">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上期发生额</w:t>
            </w:r>
          </w:p>
        </w:tc>
      </w:tr>
      <w:tr w14:paraId="733AD8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A6939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成本法核算的长期股权投资收益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3287E28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10,000,000.00</w:t>
            </w:r>
          </w:p>
        </w:tc>
        <w:tc>
          <w:tcPr>
            <w:tcW w:w="3213" w:type="dxa"/>
            <w:tcBorders>
              <w:top w:val="single" w:color="auto" w:sz="2" w:space="0"/>
              <w:left w:val="single" w:color="auto" w:sz="2" w:space="0"/>
              <w:bottom w:val="single" w:color="auto" w:sz="2" w:space="0"/>
              <w:right w:val="single" w:color="auto" w:sz="2" w:space="0"/>
            </w:tcBorders>
            <w:vAlign w:val="center"/>
          </w:tcPr>
          <w:p w14:paraId="42C19789">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20,000,000.00</w:t>
            </w:r>
          </w:p>
        </w:tc>
      </w:tr>
      <w:tr w14:paraId="6895C5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BD166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权益法核算的长期股权投资收益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452F47D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-389,729.50</w:t>
            </w:r>
          </w:p>
        </w:tc>
        <w:tc>
          <w:tcPr>
            <w:tcW w:w="3213" w:type="dxa"/>
            <w:tcBorders>
              <w:top w:val="single" w:color="auto" w:sz="2" w:space="0"/>
              <w:left w:val="single" w:color="auto" w:sz="2" w:space="0"/>
              <w:bottom w:val="single" w:color="auto" w:sz="2" w:space="0"/>
              <w:right w:val="single" w:color="auto" w:sz="2" w:space="0"/>
            </w:tcBorders>
            <w:vAlign w:val="center"/>
          </w:tcPr>
          <w:p w14:paraId="6D70D79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-2,019,561.20</w:t>
            </w:r>
          </w:p>
        </w:tc>
      </w:tr>
      <w:tr w14:paraId="3855F4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7F99D7">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6932C4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9,610,270.50</w:t>
            </w:r>
          </w:p>
        </w:tc>
        <w:tc>
          <w:tcPr>
            <w:tcW w:w="3213" w:type="dxa"/>
            <w:tcBorders>
              <w:top w:val="single" w:color="auto" w:sz="2" w:space="0"/>
              <w:left w:val="single" w:color="auto" w:sz="2" w:space="0"/>
              <w:bottom w:val="single" w:color="auto" w:sz="2" w:space="0"/>
              <w:right w:val="single" w:color="auto" w:sz="2" w:space="0"/>
            </w:tcBorders>
            <w:vAlign w:val="center"/>
          </w:tcPr>
          <w:p w14:paraId="147D986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17,980,438.80</w:t>
            </w:r>
          </w:p>
        </w:tc>
      </w:tr>
    </w:tbl>
    <w:p w14:paraId="1C8081D8">
      <w:pPr>
        <w:keepNext/>
        <w:keepLines/>
        <w:spacing w:before="300" w:after="300" w:line="280" w:lineRule="exact"/>
        <w:jc w:val="left"/>
        <w:outlineLvl w:val="2"/>
        <w:rPr>
          <w:rFonts w:ascii="宋体" w:hAnsi="宋体" w:eastAsia="宋体" w:cs="宋体"/>
          <w:b/>
          <w:bCs/>
          <w:color w:val="auto"/>
          <w:sz w:val="21"/>
          <w:szCs w:val="21"/>
        </w:rPr>
      </w:pPr>
      <w:bookmarkStart w:id="458" w:name="_Toc989434"/>
      <w:r>
        <w:rPr>
          <w:rFonts w:ascii="宋体" w:hAnsi="宋体" w:eastAsia="宋体" w:cs="宋体"/>
          <w:b/>
          <w:bCs/>
          <w:color w:val="auto"/>
          <w:sz w:val="21"/>
          <w:szCs w:val="21"/>
        </w:rPr>
        <w:t>6、其他</w:t>
      </w:r>
      <w:bookmarkEnd w:id="458"/>
    </w:p>
    <w:p w14:paraId="70BD1B55">
      <w:pPr>
        <w:keepNext/>
        <w:keepLines/>
        <w:spacing w:before="300" w:after="300" w:line="320" w:lineRule="exact"/>
        <w:jc w:val="left"/>
        <w:outlineLvl w:val="1"/>
        <w:rPr>
          <w:rFonts w:ascii="宋体" w:hAnsi="宋体" w:eastAsia="宋体" w:cs="宋体"/>
          <w:b/>
          <w:bCs/>
          <w:color w:val="auto"/>
          <w:sz w:val="24"/>
          <w:szCs w:val="24"/>
        </w:rPr>
      </w:pPr>
      <w:bookmarkStart w:id="459" w:name="_Toc989435"/>
      <w:r>
        <w:rPr>
          <w:rFonts w:ascii="宋体" w:hAnsi="宋体" w:eastAsia="宋体" w:cs="宋体"/>
          <w:b/>
          <w:bCs/>
          <w:color w:val="auto"/>
          <w:sz w:val="24"/>
          <w:szCs w:val="24"/>
        </w:rPr>
        <w:t>二十、补充资料</w:t>
      </w:r>
      <w:bookmarkEnd w:id="459"/>
    </w:p>
    <w:p w14:paraId="0DB75C67">
      <w:pPr>
        <w:keepNext/>
        <w:keepLines/>
        <w:spacing w:before="300" w:after="300" w:line="280" w:lineRule="exact"/>
        <w:jc w:val="left"/>
        <w:outlineLvl w:val="2"/>
        <w:rPr>
          <w:rFonts w:ascii="宋体" w:hAnsi="宋体" w:eastAsia="宋体" w:cs="宋体"/>
          <w:b/>
          <w:bCs/>
          <w:color w:val="auto"/>
          <w:sz w:val="21"/>
          <w:szCs w:val="21"/>
        </w:rPr>
      </w:pPr>
      <w:bookmarkStart w:id="460" w:name="_Toc989436"/>
      <w:r>
        <w:rPr>
          <w:rFonts w:ascii="宋体" w:hAnsi="宋体" w:eastAsia="宋体" w:cs="宋体"/>
          <w:b/>
          <w:bCs/>
          <w:color w:val="auto"/>
          <w:sz w:val="21"/>
          <w:szCs w:val="21"/>
        </w:rPr>
        <w:t>1、当期非经常性损益明细表</w:t>
      </w:r>
      <w:bookmarkEnd w:id="460"/>
    </w:p>
    <w:p w14:paraId="3226FA42">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sym w:font="Wingdings 2" w:char="F052"/>
      </w:r>
      <w:r>
        <w:rPr>
          <w:rFonts w:ascii="宋体" w:hAnsi="宋体" w:eastAsia="宋体" w:cs="宋体"/>
          <w:color w:val="auto"/>
          <w:sz w:val="18"/>
          <w:szCs w:val="18"/>
        </w:rPr>
        <w:t>适用□不适用</w:t>
      </w:r>
    </w:p>
    <w:p w14:paraId="0A662BE9">
      <w:pPr>
        <w:spacing w:before="120" w:after="120" w:line="240" w:lineRule="exact"/>
        <w:jc w:val="right"/>
        <w:rPr>
          <w:rFonts w:ascii="宋体" w:hAnsi="宋体" w:eastAsia="宋体" w:cs="宋体"/>
          <w:color w:val="auto"/>
          <w:sz w:val="18"/>
          <w:szCs w:val="18"/>
        </w:rPr>
      </w:pPr>
      <w:r>
        <w:rPr>
          <w:rFonts w:ascii="宋体" w:hAnsi="宋体" w:eastAsia="宋体" w:cs="宋体"/>
          <w:color w:val="auto"/>
          <w:sz w:val="18"/>
          <w:szCs w:val="18"/>
        </w:rPr>
        <w:t>单位：元</w:t>
      </w:r>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1D58F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A5689F">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D55156">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ECE352">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说明</w:t>
            </w:r>
          </w:p>
        </w:tc>
      </w:tr>
      <w:tr w14:paraId="112D43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595F2E">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非流动性资产处置损益</w:t>
            </w:r>
          </w:p>
        </w:tc>
        <w:tc>
          <w:tcPr>
            <w:tcW w:w="3213" w:type="dxa"/>
            <w:tcBorders>
              <w:top w:val="single" w:color="auto" w:sz="2" w:space="0"/>
              <w:left w:val="single" w:color="auto" w:sz="2" w:space="0"/>
              <w:bottom w:val="single" w:color="auto" w:sz="2" w:space="0"/>
              <w:right w:val="single" w:color="auto" w:sz="2" w:space="0"/>
            </w:tcBorders>
            <w:vAlign w:val="center"/>
          </w:tcPr>
          <w:p w14:paraId="3509E3B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-130,883.60</w:t>
            </w:r>
          </w:p>
        </w:tc>
        <w:tc>
          <w:tcPr>
            <w:tcW w:w="3213" w:type="dxa"/>
            <w:tcBorders>
              <w:top w:val="single" w:color="auto" w:sz="2" w:space="0"/>
              <w:left w:val="single" w:color="auto" w:sz="2" w:space="0"/>
              <w:bottom w:val="single" w:color="auto" w:sz="2" w:space="0"/>
              <w:right w:val="single" w:color="auto" w:sz="2" w:space="0"/>
            </w:tcBorders>
            <w:vAlign w:val="center"/>
          </w:tcPr>
          <w:p w14:paraId="143726BE">
            <w:pPr>
              <w:spacing w:before="0" w:after="0" w:line="240" w:lineRule="exact"/>
              <w:jc w:val="left"/>
              <w:rPr>
                <w:rFonts w:ascii="宋体" w:hAnsi="宋体" w:eastAsia="宋体" w:cs="宋体"/>
                <w:color w:val="auto"/>
                <w:sz w:val="18"/>
                <w:szCs w:val="18"/>
              </w:rPr>
            </w:pPr>
          </w:p>
        </w:tc>
      </w:tr>
      <w:tr w14:paraId="0C808F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90CCD3">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计入当期损益的政府补助（与公司正常经营业务密切相关、符合国家政策规定、按照确定的标准享有、对公司损益产生持续影响的政府补助除外）</w:t>
            </w:r>
          </w:p>
        </w:tc>
        <w:tc>
          <w:tcPr>
            <w:tcW w:w="3213" w:type="dxa"/>
            <w:tcBorders>
              <w:top w:val="single" w:color="auto" w:sz="2" w:space="0"/>
              <w:left w:val="single" w:color="auto" w:sz="2" w:space="0"/>
              <w:bottom w:val="single" w:color="auto" w:sz="2" w:space="0"/>
              <w:right w:val="single" w:color="auto" w:sz="2" w:space="0"/>
            </w:tcBorders>
            <w:vAlign w:val="center"/>
          </w:tcPr>
          <w:p w14:paraId="026F40E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5,352,256.95</w:t>
            </w:r>
          </w:p>
        </w:tc>
        <w:tc>
          <w:tcPr>
            <w:tcW w:w="3213" w:type="dxa"/>
            <w:tcBorders>
              <w:top w:val="single" w:color="auto" w:sz="2" w:space="0"/>
              <w:left w:val="single" w:color="auto" w:sz="2" w:space="0"/>
              <w:bottom w:val="single" w:color="auto" w:sz="2" w:space="0"/>
              <w:right w:val="single" w:color="auto" w:sz="2" w:space="0"/>
            </w:tcBorders>
            <w:vAlign w:val="center"/>
          </w:tcPr>
          <w:p w14:paraId="67CE37B7">
            <w:pPr>
              <w:spacing w:before="0" w:after="0" w:line="240" w:lineRule="exact"/>
              <w:jc w:val="left"/>
              <w:rPr>
                <w:rFonts w:ascii="宋体" w:hAnsi="宋体" w:eastAsia="宋体" w:cs="宋体"/>
                <w:color w:val="auto"/>
                <w:sz w:val="18"/>
                <w:szCs w:val="18"/>
              </w:rPr>
            </w:pPr>
          </w:p>
        </w:tc>
      </w:tr>
      <w:tr w14:paraId="045AE7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5F21CF">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除上述各项之外的其他营业外收入和支出</w:t>
            </w:r>
          </w:p>
        </w:tc>
        <w:tc>
          <w:tcPr>
            <w:tcW w:w="3213" w:type="dxa"/>
            <w:tcBorders>
              <w:top w:val="single" w:color="auto" w:sz="2" w:space="0"/>
              <w:left w:val="single" w:color="auto" w:sz="2" w:space="0"/>
              <w:bottom w:val="single" w:color="auto" w:sz="2" w:space="0"/>
              <w:right w:val="single" w:color="auto" w:sz="2" w:space="0"/>
            </w:tcBorders>
            <w:vAlign w:val="center"/>
          </w:tcPr>
          <w:p w14:paraId="107196E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-746,206.29</w:t>
            </w:r>
          </w:p>
        </w:tc>
        <w:tc>
          <w:tcPr>
            <w:tcW w:w="3213" w:type="dxa"/>
            <w:tcBorders>
              <w:top w:val="single" w:color="auto" w:sz="2" w:space="0"/>
              <w:left w:val="single" w:color="auto" w:sz="2" w:space="0"/>
              <w:bottom w:val="single" w:color="auto" w:sz="2" w:space="0"/>
              <w:right w:val="single" w:color="auto" w:sz="2" w:space="0"/>
            </w:tcBorders>
            <w:vAlign w:val="center"/>
          </w:tcPr>
          <w:p w14:paraId="22DCDC9D">
            <w:pPr>
              <w:spacing w:before="0" w:after="0" w:line="240" w:lineRule="exact"/>
              <w:jc w:val="left"/>
              <w:rPr>
                <w:rFonts w:ascii="宋体" w:hAnsi="宋体" w:eastAsia="宋体" w:cs="宋体"/>
                <w:color w:val="auto"/>
                <w:sz w:val="18"/>
                <w:szCs w:val="18"/>
              </w:rPr>
            </w:pPr>
          </w:p>
        </w:tc>
      </w:tr>
      <w:tr w14:paraId="78F13C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490E11">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其他符合非经常性损益定义的损益项目</w:t>
            </w:r>
          </w:p>
        </w:tc>
        <w:tc>
          <w:tcPr>
            <w:tcW w:w="3213" w:type="dxa"/>
            <w:tcBorders>
              <w:top w:val="single" w:color="auto" w:sz="2" w:space="0"/>
              <w:left w:val="single" w:color="auto" w:sz="2" w:space="0"/>
              <w:bottom w:val="single" w:color="auto" w:sz="2" w:space="0"/>
              <w:right w:val="single" w:color="auto" w:sz="2" w:space="0"/>
            </w:tcBorders>
            <w:vAlign w:val="center"/>
          </w:tcPr>
          <w:p w14:paraId="68502EAC">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218,866.39</w:t>
            </w:r>
          </w:p>
        </w:tc>
        <w:tc>
          <w:tcPr>
            <w:tcW w:w="3213" w:type="dxa"/>
            <w:tcBorders>
              <w:top w:val="single" w:color="auto" w:sz="2" w:space="0"/>
              <w:left w:val="single" w:color="auto" w:sz="2" w:space="0"/>
              <w:bottom w:val="single" w:color="auto" w:sz="2" w:space="0"/>
              <w:right w:val="single" w:color="auto" w:sz="2" w:space="0"/>
            </w:tcBorders>
            <w:vAlign w:val="center"/>
          </w:tcPr>
          <w:p w14:paraId="4BE443BD">
            <w:pPr>
              <w:spacing w:before="0" w:after="0" w:line="240" w:lineRule="exact"/>
              <w:jc w:val="left"/>
              <w:rPr>
                <w:rFonts w:ascii="宋体" w:hAnsi="宋体" w:eastAsia="宋体" w:cs="宋体"/>
                <w:color w:val="auto"/>
                <w:sz w:val="18"/>
                <w:szCs w:val="18"/>
              </w:rPr>
            </w:pPr>
          </w:p>
        </w:tc>
      </w:tr>
      <w:tr w14:paraId="4D6F0A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80310D">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减：所得税影响额</w:t>
            </w:r>
          </w:p>
        </w:tc>
        <w:tc>
          <w:tcPr>
            <w:tcW w:w="3213" w:type="dxa"/>
            <w:tcBorders>
              <w:top w:val="single" w:color="auto" w:sz="2" w:space="0"/>
              <w:left w:val="single" w:color="auto" w:sz="2" w:space="0"/>
              <w:bottom w:val="single" w:color="auto" w:sz="2" w:space="0"/>
              <w:right w:val="single" w:color="auto" w:sz="2" w:space="0"/>
            </w:tcBorders>
            <w:vAlign w:val="center"/>
          </w:tcPr>
          <w:p w14:paraId="2929F398">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29,392.96</w:t>
            </w:r>
          </w:p>
        </w:tc>
        <w:tc>
          <w:tcPr>
            <w:tcW w:w="3213" w:type="dxa"/>
            <w:tcBorders>
              <w:top w:val="single" w:color="auto" w:sz="2" w:space="0"/>
              <w:left w:val="single" w:color="auto" w:sz="2" w:space="0"/>
              <w:bottom w:val="single" w:color="auto" w:sz="2" w:space="0"/>
              <w:right w:val="single" w:color="auto" w:sz="2" w:space="0"/>
            </w:tcBorders>
            <w:vAlign w:val="center"/>
          </w:tcPr>
          <w:p w14:paraId="766E6147">
            <w:pPr>
              <w:spacing w:before="0" w:after="0" w:line="240" w:lineRule="exact"/>
              <w:jc w:val="left"/>
              <w:rPr>
                <w:rFonts w:ascii="宋体" w:hAnsi="宋体" w:eastAsia="宋体" w:cs="宋体"/>
                <w:color w:val="auto"/>
                <w:sz w:val="18"/>
                <w:szCs w:val="18"/>
              </w:rPr>
            </w:pPr>
          </w:p>
        </w:tc>
      </w:tr>
      <w:tr w14:paraId="51E873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DC788F">
            <w:pPr>
              <w:spacing w:before="40" w:after="40" w:line="240" w:lineRule="exact"/>
              <w:ind w:firstLine="360" w:firstLineChars="200"/>
              <w:jc w:val="left"/>
              <w:rPr>
                <w:rFonts w:ascii="宋体" w:hAnsi="宋体" w:eastAsia="宋体" w:cs="宋体"/>
                <w:color w:val="auto"/>
                <w:sz w:val="18"/>
                <w:szCs w:val="18"/>
              </w:rPr>
            </w:pPr>
            <w:r>
              <w:rPr>
                <w:rFonts w:ascii="宋体" w:hAnsi="宋体" w:eastAsia="宋体" w:cs="宋体"/>
                <w:color w:val="auto"/>
                <w:sz w:val="18"/>
                <w:szCs w:val="18"/>
              </w:rPr>
              <w:t>少数股东权益影响额（税后）</w:t>
            </w:r>
          </w:p>
        </w:tc>
        <w:tc>
          <w:tcPr>
            <w:tcW w:w="3213" w:type="dxa"/>
            <w:tcBorders>
              <w:top w:val="single" w:color="auto" w:sz="2" w:space="0"/>
              <w:left w:val="single" w:color="auto" w:sz="2" w:space="0"/>
              <w:bottom w:val="single" w:color="auto" w:sz="2" w:space="0"/>
              <w:right w:val="single" w:color="auto" w:sz="2" w:space="0"/>
            </w:tcBorders>
            <w:vAlign w:val="center"/>
          </w:tcPr>
          <w:p w14:paraId="2737EB06">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514,999.55</w:t>
            </w:r>
          </w:p>
        </w:tc>
        <w:tc>
          <w:tcPr>
            <w:tcW w:w="3213" w:type="dxa"/>
            <w:tcBorders>
              <w:top w:val="single" w:color="auto" w:sz="2" w:space="0"/>
              <w:left w:val="single" w:color="auto" w:sz="2" w:space="0"/>
              <w:bottom w:val="single" w:color="auto" w:sz="2" w:space="0"/>
              <w:right w:val="single" w:color="auto" w:sz="2" w:space="0"/>
            </w:tcBorders>
            <w:vAlign w:val="center"/>
          </w:tcPr>
          <w:p w14:paraId="35374F3D">
            <w:pPr>
              <w:spacing w:before="0" w:after="0" w:line="240" w:lineRule="exact"/>
              <w:jc w:val="left"/>
              <w:rPr>
                <w:rFonts w:ascii="宋体" w:hAnsi="宋体" w:eastAsia="宋体" w:cs="宋体"/>
                <w:color w:val="auto"/>
                <w:sz w:val="18"/>
                <w:szCs w:val="18"/>
              </w:rPr>
            </w:pPr>
          </w:p>
        </w:tc>
      </w:tr>
      <w:tr w14:paraId="10C431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3F6C7C">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2FB837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4,149,640.94</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F7BD5E">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w:t>
            </w:r>
          </w:p>
        </w:tc>
      </w:tr>
    </w:tbl>
    <w:p w14:paraId="0B89D48E">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其他符合非经常性损益定义的损益项目的具体情况：</w:t>
      </w:r>
    </w:p>
    <w:p w14:paraId="68C893A2">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4DD26483">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公司不存在其他符合非经常性损益定义的损益项目的具体情况。</w:t>
      </w:r>
    </w:p>
    <w:p w14:paraId="6C7EB350">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将《公开发行证券的公司信息披露解释性公告第1号——非经常性损益》中列举的非经常性损益项目界定为经常性损益项目的情况说明</w:t>
      </w:r>
    </w:p>
    <w:p w14:paraId="6811C778">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6431FF34">
      <w:pPr>
        <w:keepNext/>
        <w:keepLines/>
        <w:spacing w:before="300" w:after="300" w:line="280" w:lineRule="exact"/>
        <w:jc w:val="left"/>
        <w:outlineLvl w:val="2"/>
        <w:rPr>
          <w:rFonts w:ascii="宋体" w:hAnsi="宋体" w:eastAsia="宋体" w:cs="宋体"/>
          <w:b/>
          <w:bCs/>
          <w:color w:val="auto"/>
          <w:sz w:val="21"/>
          <w:szCs w:val="21"/>
        </w:rPr>
      </w:pPr>
      <w:bookmarkStart w:id="461" w:name="_Toc989437"/>
      <w:r>
        <w:rPr>
          <w:rFonts w:ascii="宋体" w:hAnsi="宋体" w:eastAsia="宋体" w:cs="宋体"/>
          <w:b/>
          <w:bCs/>
          <w:color w:val="auto"/>
          <w:sz w:val="21"/>
          <w:szCs w:val="21"/>
        </w:rPr>
        <w:t>2、净资产收益率及每股收益</w:t>
      </w:r>
      <w:bookmarkEnd w:id="461"/>
    </w:p>
    <w:tbl>
      <w:tblPr>
        <w:tblStyle w:val="5"/>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10"/>
        <w:gridCol w:w="2410"/>
        <w:gridCol w:w="2410"/>
        <w:gridCol w:w="2410"/>
      </w:tblGrid>
      <w:tr w14:paraId="12AAE9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63FC90B">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报告期利润</w:t>
            </w:r>
          </w:p>
        </w:tc>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D59654C">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加权平均净资产收益率</w:t>
            </w:r>
          </w:p>
        </w:tc>
        <w:tc>
          <w:tcPr>
            <w:tcW w:w="482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0DD65D0">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每股收益</w:t>
            </w:r>
          </w:p>
        </w:tc>
      </w:tr>
      <w:tr w14:paraId="3462BE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6026AC">
            <w:pPr>
              <w:rPr>
                <w:color w:val="auto"/>
              </w:rPr>
            </w:pPr>
          </w:p>
        </w:tc>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368FB9">
            <w:pPr>
              <w:rPr>
                <w:color w:val="auto"/>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088B538">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基本每股收益（元/股）</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7B4D0F4">
            <w:pPr>
              <w:spacing w:before="40" w:after="40" w:line="240" w:lineRule="exact"/>
              <w:jc w:val="center"/>
              <w:rPr>
                <w:rFonts w:ascii="宋体" w:hAnsi="宋体" w:eastAsia="宋体" w:cs="宋体"/>
                <w:color w:val="auto"/>
                <w:sz w:val="18"/>
                <w:szCs w:val="18"/>
              </w:rPr>
            </w:pPr>
            <w:r>
              <w:rPr>
                <w:rFonts w:ascii="宋体" w:hAnsi="宋体" w:eastAsia="宋体" w:cs="宋体"/>
                <w:color w:val="auto"/>
                <w:sz w:val="18"/>
                <w:szCs w:val="18"/>
              </w:rPr>
              <w:t>稀释每股收益（元/股）</w:t>
            </w:r>
          </w:p>
        </w:tc>
      </w:tr>
      <w:tr w14:paraId="3F82D7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7C0E1A9">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归属于公司普通股股东的净利润</w:t>
            </w:r>
          </w:p>
        </w:tc>
        <w:tc>
          <w:tcPr>
            <w:tcW w:w="2410" w:type="dxa"/>
            <w:tcBorders>
              <w:top w:val="single" w:color="auto" w:sz="2" w:space="0"/>
              <w:left w:val="single" w:color="auto" w:sz="2" w:space="0"/>
              <w:bottom w:val="single" w:color="auto" w:sz="2" w:space="0"/>
              <w:right w:val="single" w:color="auto" w:sz="2" w:space="0"/>
            </w:tcBorders>
            <w:vAlign w:val="center"/>
          </w:tcPr>
          <w:p w14:paraId="35CFBA05">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-20.40%</w:t>
            </w:r>
          </w:p>
        </w:tc>
        <w:tc>
          <w:tcPr>
            <w:tcW w:w="2410" w:type="dxa"/>
            <w:tcBorders>
              <w:top w:val="single" w:color="auto" w:sz="2" w:space="0"/>
              <w:left w:val="single" w:color="auto" w:sz="2" w:space="0"/>
              <w:bottom w:val="single" w:color="auto" w:sz="2" w:space="0"/>
              <w:right w:val="single" w:color="auto" w:sz="2" w:space="0"/>
            </w:tcBorders>
            <w:vAlign w:val="center"/>
          </w:tcPr>
          <w:p w14:paraId="503C50FB">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-0.4187</w:t>
            </w:r>
          </w:p>
        </w:tc>
        <w:tc>
          <w:tcPr>
            <w:tcW w:w="2410" w:type="dxa"/>
            <w:tcBorders>
              <w:top w:val="single" w:color="auto" w:sz="2" w:space="0"/>
              <w:left w:val="single" w:color="auto" w:sz="2" w:space="0"/>
              <w:bottom w:val="single" w:color="auto" w:sz="2" w:space="0"/>
              <w:right w:val="single" w:color="auto" w:sz="2" w:space="0"/>
            </w:tcBorders>
            <w:vAlign w:val="center"/>
          </w:tcPr>
          <w:p w14:paraId="7EB66471">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-0.4187</w:t>
            </w:r>
          </w:p>
        </w:tc>
      </w:tr>
      <w:tr w14:paraId="0B2E9F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8C96DEA">
            <w:pPr>
              <w:spacing w:before="40" w:after="40" w:line="240" w:lineRule="exact"/>
              <w:jc w:val="left"/>
              <w:rPr>
                <w:rFonts w:ascii="宋体" w:hAnsi="宋体" w:eastAsia="宋体" w:cs="宋体"/>
                <w:color w:val="auto"/>
                <w:sz w:val="18"/>
                <w:szCs w:val="18"/>
              </w:rPr>
            </w:pPr>
            <w:r>
              <w:rPr>
                <w:rFonts w:ascii="宋体" w:hAnsi="宋体" w:eastAsia="宋体" w:cs="宋体"/>
                <w:color w:val="auto"/>
                <w:sz w:val="18"/>
                <w:szCs w:val="18"/>
              </w:rPr>
              <w:t>扣除非经常性损益后归属于公司普通股股东的净利润</w:t>
            </w:r>
          </w:p>
        </w:tc>
        <w:tc>
          <w:tcPr>
            <w:tcW w:w="2410" w:type="dxa"/>
            <w:tcBorders>
              <w:top w:val="single" w:color="auto" w:sz="2" w:space="0"/>
              <w:left w:val="single" w:color="auto" w:sz="2" w:space="0"/>
              <w:bottom w:val="single" w:color="auto" w:sz="2" w:space="0"/>
              <w:right w:val="single" w:color="auto" w:sz="2" w:space="0"/>
            </w:tcBorders>
            <w:vAlign w:val="center"/>
          </w:tcPr>
          <w:p w14:paraId="203F892D">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-21.67%</w:t>
            </w:r>
          </w:p>
        </w:tc>
        <w:tc>
          <w:tcPr>
            <w:tcW w:w="2410" w:type="dxa"/>
            <w:tcBorders>
              <w:top w:val="single" w:color="auto" w:sz="2" w:space="0"/>
              <w:left w:val="single" w:color="auto" w:sz="2" w:space="0"/>
              <w:bottom w:val="single" w:color="auto" w:sz="2" w:space="0"/>
              <w:right w:val="single" w:color="auto" w:sz="2" w:space="0"/>
            </w:tcBorders>
            <w:vAlign w:val="center"/>
          </w:tcPr>
          <w:p w14:paraId="006BEAA3">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-0.4448</w:t>
            </w:r>
          </w:p>
        </w:tc>
        <w:tc>
          <w:tcPr>
            <w:tcW w:w="2410" w:type="dxa"/>
            <w:tcBorders>
              <w:top w:val="single" w:color="auto" w:sz="2" w:space="0"/>
              <w:left w:val="single" w:color="auto" w:sz="2" w:space="0"/>
              <w:bottom w:val="single" w:color="auto" w:sz="2" w:space="0"/>
              <w:right w:val="single" w:color="auto" w:sz="2" w:space="0"/>
            </w:tcBorders>
            <w:vAlign w:val="center"/>
          </w:tcPr>
          <w:p w14:paraId="2C7FC530">
            <w:pPr>
              <w:spacing w:before="0" w:after="0" w:line="240" w:lineRule="exact"/>
              <w:jc w:val="right"/>
              <w:rPr>
                <w:rFonts w:ascii="宋体" w:hAnsi="宋体" w:eastAsia="宋体" w:cs="宋体"/>
                <w:color w:val="auto"/>
                <w:sz w:val="18"/>
                <w:szCs w:val="18"/>
              </w:rPr>
            </w:pPr>
            <w:r>
              <w:rPr>
                <w:rFonts w:ascii="宋体" w:hAnsi="宋体" w:eastAsia="宋体" w:cs="宋体"/>
                <w:color w:val="auto"/>
                <w:sz w:val="18"/>
                <w:szCs w:val="18"/>
              </w:rPr>
              <w:t>-0.4448</w:t>
            </w:r>
          </w:p>
        </w:tc>
      </w:tr>
    </w:tbl>
    <w:p w14:paraId="0006EBF2">
      <w:pPr>
        <w:keepNext/>
        <w:keepLines/>
        <w:spacing w:before="300" w:after="300" w:line="280" w:lineRule="exact"/>
        <w:jc w:val="left"/>
        <w:outlineLvl w:val="2"/>
        <w:rPr>
          <w:rFonts w:ascii="宋体" w:hAnsi="宋体" w:eastAsia="宋体" w:cs="宋体"/>
          <w:b/>
          <w:bCs/>
          <w:color w:val="auto"/>
          <w:sz w:val="21"/>
          <w:szCs w:val="21"/>
        </w:rPr>
      </w:pPr>
      <w:bookmarkStart w:id="462" w:name="_Toc989438"/>
      <w:r>
        <w:rPr>
          <w:rFonts w:ascii="宋体" w:hAnsi="宋体" w:eastAsia="宋体" w:cs="宋体"/>
          <w:b/>
          <w:bCs/>
          <w:color w:val="auto"/>
          <w:sz w:val="21"/>
          <w:szCs w:val="21"/>
        </w:rPr>
        <w:t>3、境内外会计准则下会计数据差异</w:t>
      </w:r>
      <w:bookmarkEnd w:id="462"/>
    </w:p>
    <w:p w14:paraId="509741FD">
      <w:pPr>
        <w:keepNext/>
        <w:keepLines/>
        <w:spacing w:before="300" w:after="300" w:line="280" w:lineRule="exact"/>
        <w:jc w:val="left"/>
        <w:outlineLvl w:val="3"/>
        <w:rPr>
          <w:rFonts w:ascii="宋体" w:hAnsi="宋体" w:eastAsia="宋体" w:cs="宋体"/>
          <w:b/>
          <w:bCs/>
          <w:color w:val="auto"/>
          <w:sz w:val="21"/>
          <w:szCs w:val="21"/>
        </w:rPr>
      </w:pPr>
      <w:bookmarkStart w:id="463" w:name="_Toc989439"/>
      <w:r>
        <w:rPr>
          <w:rFonts w:ascii="宋体" w:hAnsi="宋体" w:eastAsia="宋体" w:cs="宋体"/>
          <w:b/>
          <w:bCs/>
          <w:color w:val="auto"/>
          <w:sz w:val="21"/>
          <w:szCs w:val="21"/>
        </w:rPr>
        <w:t>（1）同时按照国际会计准则与按中国会计准则披露的财务报告中净利润和净资产差异情况</w:t>
      </w:r>
      <w:bookmarkEnd w:id="463"/>
    </w:p>
    <w:p w14:paraId="4205F79C">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6982B3A2">
      <w:pPr>
        <w:keepNext/>
        <w:keepLines/>
        <w:spacing w:before="300" w:after="300" w:line="280" w:lineRule="exact"/>
        <w:jc w:val="left"/>
        <w:outlineLvl w:val="3"/>
        <w:rPr>
          <w:rFonts w:ascii="宋体" w:hAnsi="宋体" w:eastAsia="宋体" w:cs="宋体"/>
          <w:b/>
          <w:bCs/>
          <w:color w:val="auto"/>
          <w:sz w:val="21"/>
          <w:szCs w:val="21"/>
        </w:rPr>
      </w:pPr>
      <w:bookmarkStart w:id="464" w:name="_Toc989440"/>
      <w:r>
        <w:rPr>
          <w:rFonts w:ascii="宋体" w:hAnsi="宋体" w:eastAsia="宋体" w:cs="宋体"/>
          <w:b/>
          <w:bCs/>
          <w:color w:val="auto"/>
          <w:sz w:val="21"/>
          <w:szCs w:val="21"/>
        </w:rPr>
        <w:t>（2）同时按照境外会计准则与按中国会计准则披露的财务报告中净利润和净资产差异情况</w:t>
      </w:r>
      <w:bookmarkEnd w:id="464"/>
    </w:p>
    <w:p w14:paraId="1F4B4723">
      <w:pPr>
        <w:spacing w:before="0" w:after="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591435C5">
      <w:pPr>
        <w:keepNext/>
        <w:keepLines/>
        <w:spacing w:before="300" w:after="300" w:line="280" w:lineRule="exact"/>
        <w:jc w:val="left"/>
        <w:outlineLvl w:val="3"/>
        <w:rPr>
          <w:rFonts w:ascii="宋体" w:hAnsi="宋体" w:eastAsia="宋体" w:cs="宋体"/>
          <w:b/>
          <w:bCs/>
          <w:color w:val="auto"/>
          <w:sz w:val="21"/>
          <w:szCs w:val="21"/>
        </w:rPr>
      </w:pPr>
      <w:bookmarkStart w:id="465" w:name="_Toc989441"/>
      <w:r>
        <w:rPr>
          <w:rFonts w:ascii="宋体" w:hAnsi="宋体" w:eastAsia="宋体" w:cs="宋体"/>
          <w:b/>
          <w:bCs/>
          <w:color w:val="auto"/>
          <w:sz w:val="21"/>
          <w:szCs w:val="21"/>
        </w:rPr>
        <w:t>（3）境内外会计准则下会计数据差异原因说明，对已经境外审计机构审计的数据进行差异调节的，应注明该境外机构的名称</w:t>
      </w:r>
      <w:bookmarkEnd w:id="465"/>
    </w:p>
    <w:p w14:paraId="089CF10F">
      <w:pPr>
        <w:spacing w:before="100" w:after="100" w:line="240" w:lineRule="exact"/>
        <w:jc w:val="left"/>
        <w:rPr>
          <w:rFonts w:ascii="宋体" w:hAnsi="宋体" w:eastAsia="宋体" w:cs="宋体"/>
          <w:color w:val="auto"/>
          <w:sz w:val="18"/>
          <w:szCs w:val="18"/>
        </w:rPr>
      </w:pPr>
      <w:r>
        <w:rPr>
          <w:rFonts w:ascii="宋体" w:hAnsi="宋体" w:eastAsia="宋体" w:cs="宋体"/>
          <w:color w:val="auto"/>
          <w:sz w:val="18"/>
          <w:szCs w:val="18"/>
        </w:rPr>
        <w:t>□适用</w:t>
      </w:r>
      <w:r>
        <w:rPr>
          <w:rFonts w:ascii="宋体" w:hAnsi="宋体" w:eastAsia="宋体" w:cs="宋体"/>
          <w:color w:val="auto"/>
          <w:sz w:val="18"/>
          <w:szCs w:val="18"/>
        </w:rPr>
        <w:sym w:font="Wingdings 2" w:char="F052"/>
      </w:r>
      <w:r>
        <w:rPr>
          <w:rFonts w:ascii="宋体" w:hAnsi="宋体" w:eastAsia="宋体" w:cs="宋体"/>
          <w:color w:val="auto"/>
          <w:sz w:val="18"/>
          <w:szCs w:val="18"/>
        </w:rPr>
        <w:t>不适用</w:t>
      </w:r>
    </w:p>
    <w:p w14:paraId="011A740C">
      <w:pPr>
        <w:keepNext/>
        <w:keepLines/>
        <w:spacing w:before="300" w:after="300" w:line="280" w:lineRule="exact"/>
        <w:jc w:val="left"/>
        <w:outlineLvl w:val="2"/>
        <w:rPr>
          <w:rFonts w:ascii="宋体" w:hAnsi="宋体" w:eastAsia="宋体" w:cs="宋体"/>
          <w:b/>
          <w:bCs/>
          <w:color w:val="auto"/>
          <w:sz w:val="21"/>
          <w:szCs w:val="21"/>
        </w:rPr>
      </w:pPr>
      <w:bookmarkStart w:id="466" w:name="_Toc989442"/>
      <w:r>
        <w:rPr>
          <w:rFonts w:ascii="宋体" w:hAnsi="宋体" w:eastAsia="宋体" w:cs="宋体"/>
          <w:b/>
          <w:bCs/>
          <w:color w:val="auto"/>
          <w:sz w:val="21"/>
          <w:szCs w:val="21"/>
        </w:rPr>
        <w:t>4、其他</w:t>
      </w:r>
      <w:bookmarkEnd w:id="466"/>
    </w:p>
    <w:sectPr>
      <w:headerReference r:id="rId3" w:type="default"/>
      <w:footerReference r:id="rId4" w:type="default"/>
      <w:pgSz w:w="11905" w:h="16840"/>
      <w:pgMar w:top="1440" w:right="1134" w:bottom="1440" w:left="1134" w:header="850"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Wingdings 2">
    <w:panose1 w:val="05020102010507070707"/>
    <w:charset w:val="00"/>
    <w:family w:val="auto"/>
    <w:pitch w:val="default"/>
    <w:sig w:usb0="00000000" w:usb1="00000000" w:usb2="00000000" w:usb3="00000000" w:csb0="80000000" w:csb1="00000000"/>
  </w:font>
  <w:font w:name="Arial Narrow">
    <w:panose1 w:val="020B0606020202030204"/>
    <w:charset w:val="00"/>
    <w:family w:val="auto"/>
    <w:pitch w:val="default"/>
    <w:sig w:usb0="00000287" w:usb1="00000800" w:usb2="00000000" w:usb3="00000000" w:csb0="2000009F" w:csb1="DFD7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0A68A">
    <w:pPr>
      <w:jc w:val="right"/>
    </w:pPr>
    <w:r>
      <w:rPr>
        <w:rFonts w:ascii="宋体" w:eastAsia="宋体"/>
        <w:sz w:val="18"/>
        <w:szCs w:val="18"/>
      </w:rPr>
      <w:fldChar w:fldCharType="begin"/>
    </w:r>
    <w:r>
      <w:rPr>
        <w:rFonts w:ascii="宋体" w:eastAsia="宋体"/>
        <w:sz w:val="18"/>
        <w:szCs w:val="18"/>
      </w:rPr>
      <w:instrText xml:space="preserve">PAGE   \* MERGEFORMAT</w:instrText>
    </w:r>
    <w:r>
      <w:rPr>
        <w:rFonts w:ascii="宋体" w:eastAsia="宋体"/>
        <w:sz w:val="18"/>
        <w:szCs w:val="18"/>
      </w:rPr>
      <w:fldChar w:fldCharType="separate"/>
    </w:r>
    <w:r>
      <w:rPr>
        <w:rFonts w:ascii="宋体" w:eastAsia="宋体"/>
        <w:sz w:val="18"/>
        <w:szCs w:val="18"/>
      </w:rPr>
      <w:t>1</w:t>
    </w:r>
    <w:r>
      <w:rPr>
        <w:rFonts w:ascii="宋体" w:eastAsia="宋体"/>
        <w:sz w:val="18"/>
        <w:szCs w:val="1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98AE1">
    <w:pPr>
      <w:pBdr>
        <w:bottom w:val="single" w:color="auto" w:sz="6" w:space="1"/>
      </w:pBdr>
      <w:jc w:val="right"/>
    </w:pPr>
    <w:r>
      <w:rPr>
        <w:rFonts w:ascii="宋体" w:eastAsia="宋体"/>
        <w:sz w:val="18"/>
        <w:szCs w:val="18"/>
      </w:rPr>
      <w:t>福建广生堂药业股份有限公司2025年半年度</w:t>
    </w:r>
    <w:r>
      <w:rPr>
        <w:rFonts w:hint="eastAsia" w:ascii="宋体"/>
        <w:sz w:val="18"/>
        <w:szCs w:val="18"/>
        <w:lang w:val="en-US" w:eastAsia="zh-CN"/>
      </w:rPr>
      <w:t>财务</w:t>
    </w:r>
    <w:r>
      <w:rPr>
        <w:rFonts w:ascii="宋体" w:eastAsia="宋体"/>
        <w:sz w:val="18"/>
        <w:szCs w:val="18"/>
      </w:rPr>
      <w:t>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doNotExpandShiftReturn/>
    <w:useFELayout/>
    <w:compatSetting w:name="compatibilityMode" w:uri="http://schemas.microsoft.com/office/word" w:val="14"/>
  </w:compat>
  <w:rsids>
    <w:rsidRoot w:val="00000000"/>
    <w:rsid w:val="014866DE"/>
    <w:rsid w:val="022950E4"/>
    <w:rsid w:val="02671529"/>
    <w:rsid w:val="037A11E6"/>
    <w:rsid w:val="04071455"/>
    <w:rsid w:val="0451447E"/>
    <w:rsid w:val="065C583E"/>
    <w:rsid w:val="067E0492"/>
    <w:rsid w:val="06F86E33"/>
    <w:rsid w:val="07302A71"/>
    <w:rsid w:val="07D3745B"/>
    <w:rsid w:val="08F50E8F"/>
    <w:rsid w:val="0B106925"/>
    <w:rsid w:val="0B4A5D2F"/>
    <w:rsid w:val="0B61144B"/>
    <w:rsid w:val="0C926487"/>
    <w:rsid w:val="0CCD4A3B"/>
    <w:rsid w:val="0EF12D0C"/>
    <w:rsid w:val="10AE5D60"/>
    <w:rsid w:val="116D7E4E"/>
    <w:rsid w:val="11FC3C7B"/>
    <w:rsid w:val="14157276"/>
    <w:rsid w:val="155E5FDC"/>
    <w:rsid w:val="1695644C"/>
    <w:rsid w:val="19263573"/>
    <w:rsid w:val="1CBA6C0D"/>
    <w:rsid w:val="1CD777BF"/>
    <w:rsid w:val="1D730C34"/>
    <w:rsid w:val="1EC75611"/>
    <w:rsid w:val="20C462AC"/>
    <w:rsid w:val="222718B8"/>
    <w:rsid w:val="24294678"/>
    <w:rsid w:val="264939D1"/>
    <w:rsid w:val="2CFE05A2"/>
    <w:rsid w:val="2D346567"/>
    <w:rsid w:val="2E426A0D"/>
    <w:rsid w:val="2F302068"/>
    <w:rsid w:val="300761B5"/>
    <w:rsid w:val="316A7C32"/>
    <w:rsid w:val="319C292D"/>
    <w:rsid w:val="31E367AE"/>
    <w:rsid w:val="342804A8"/>
    <w:rsid w:val="3641163C"/>
    <w:rsid w:val="385C59E4"/>
    <w:rsid w:val="390557F8"/>
    <w:rsid w:val="3A26224A"/>
    <w:rsid w:val="3D4225DB"/>
    <w:rsid w:val="3D557CEA"/>
    <w:rsid w:val="3DE03F6E"/>
    <w:rsid w:val="3DF12C27"/>
    <w:rsid w:val="3F934A87"/>
    <w:rsid w:val="3FB97B2C"/>
    <w:rsid w:val="403C77B5"/>
    <w:rsid w:val="43504B8A"/>
    <w:rsid w:val="44C11C5A"/>
    <w:rsid w:val="46067D13"/>
    <w:rsid w:val="46E04202"/>
    <w:rsid w:val="46E97F6B"/>
    <w:rsid w:val="48522981"/>
    <w:rsid w:val="49FA4868"/>
    <w:rsid w:val="4BA821A3"/>
    <w:rsid w:val="4BB0426A"/>
    <w:rsid w:val="4CDD5E7C"/>
    <w:rsid w:val="4D2B308B"/>
    <w:rsid w:val="50C70E83"/>
    <w:rsid w:val="516A3A56"/>
    <w:rsid w:val="53746BFD"/>
    <w:rsid w:val="56737851"/>
    <w:rsid w:val="57BB331D"/>
    <w:rsid w:val="59FF4C42"/>
    <w:rsid w:val="616B7E1C"/>
    <w:rsid w:val="6186454C"/>
    <w:rsid w:val="638D1992"/>
    <w:rsid w:val="63A86D8C"/>
    <w:rsid w:val="66BE13C8"/>
    <w:rsid w:val="6714680B"/>
    <w:rsid w:val="6ADE3093"/>
    <w:rsid w:val="6EA856B8"/>
    <w:rsid w:val="6FBB1BF5"/>
    <w:rsid w:val="70B623BC"/>
    <w:rsid w:val="711315BD"/>
    <w:rsid w:val="715045BF"/>
    <w:rsid w:val="71B76466"/>
    <w:rsid w:val="73AD7242"/>
    <w:rsid w:val="75D255B0"/>
    <w:rsid w:val="7A027042"/>
    <w:rsid w:val="7B2A1F0C"/>
    <w:rsid w:val="7B4E29A6"/>
    <w:rsid w:val="7BD95A86"/>
    <w:rsid w:val="7C6A16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rPr>
  </w:style>
  <w:style w:type="paragraph" w:styleId="2">
    <w:name w:val="heading 1"/>
    <w:next w:val="1"/>
    <w:qFormat/>
    <w:uiPriority w:val="0"/>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154</Pages>
  <Words>4930</Words>
  <Characters>10196</Characters>
  <TotalTime>6</TotalTime>
  <ScaleCrop>false</ScaleCrop>
  <LinksUpToDate>false</LinksUpToDate>
  <CharactersWithSpaces>10196</CharactersWithSpaces>
  <Application>WPS Office_12.1.0.21911_F1E327BC-269C-435d-A152-05C5408002CA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2025-08-10T05:04:00Z</dcterms:created>
  <dc:creator>cosun</dc:creator>
  <cp:lastModifiedBy>cdq</cp:lastModifiedBy>
  <dcterms:modified xsi:type="dcterms:W3CDTF">2025-08-21T00:55:46Z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eyJoZGlkIjoiY2Q4MDAzNjNiM2EwYjNjY2VkN2I2ZWY4OTg5YTA1ZWYiLCJ1c2VySWQiOiIxMzk5OTUwMzQxIn0=</vt:lpwstr>
  </property>
  <property fmtid="{D5CDD505-2E9C-101B-9397-08002B2CF9AE}" pid="3" name="KSOProductBuildVer">
    <vt:lpwstr>2052-12.1.0.21911</vt:lpwstr>
  </property>
  <property fmtid="{D5CDD505-2E9C-101B-9397-08002B2CF9AE}" pid="4" name="ICV">
    <vt:lpwstr>FBC50B0114EC4062BD2EE0B56CBEF744_12</vt:lpwstr>
  </property>
</Properties>
</file>